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6DF8" w14:textId="29743791" w:rsidR="001F5918" w:rsidRDefault="00AD4527" w:rsidP="00822B15">
      <w:pPr>
        <w:pStyle w:val="Ttulo1"/>
        <w:rPr>
          <w:lang w:val="es-ES"/>
        </w:rPr>
      </w:pPr>
      <w:r>
        <w:rPr>
          <w:lang w:val="es-ES"/>
        </w:rPr>
        <w:t>P</w:t>
      </w:r>
      <w:r w:rsidR="001F5918">
        <w:rPr>
          <w:lang w:val="es-ES"/>
        </w:rPr>
        <w:t>royecto de reforma tributaria 202</w:t>
      </w:r>
      <w:r>
        <w:rPr>
          <w:lang w:val="es-ES"/>
        </w:rPr>
        <w:t>5</w:t>
      </w:r>
      <w:r w:rsidR="00BF4CCD">
        <w:rPr>
          <w:lang w:val="es-ES"/>
        </w:rPr>
        <w:t>:</w:t>
      </w:r>
      <w:r w:rsidR="001F5918">
        <w:rPr>
          <w:lang w:val="es-ES"/>
        </w:rPr>
        <w:t xml:space="preserve"> </w:t>
      </w:r>
      <w:r>
        <w:rPr>
          <w:lang w:val="es-ES"/>
        </w:rPr>
        <w:t xml:space="preserve">se propone </w:t>
      </w:r>
      <w:r w:rsidR="002F47C6">
        <w:rPr>
          <w:lang w:val="es-ES"/>
        </w:rPr>
        <w:t xml:space="preserve">hacer dos grandes cambios al </w:t>
      </w:r>
      <w:r>
        <w:rPr>
          <w:lang w:val="es-ES"/>
        </w:rPr>
        <w:t>i</w:t>
      </w:r>
      <w:r w:rsidR="001F5918">
        <w:rPr>
          <w:lang w:val="es-ES"/>
        </w:rPr>
        <w:t>mpuesto al patrimonio</w:t>
      </w:r>
    </w:p>
    <w:p w14:paraId="2CFFC3D2" w14:textId="77777777" w:rsidR="001F5918" w:rsidRDefault="00822B15">
      <w:pPr>
        <w:rPr>
          <w:lang w:val="es-ES"/>
        </w:rPr>
      </w:pPr>
      <w:r>
        <w:rPr>
          <w:noProof/>
          <w:lang w:val="es-ES"/>
        </w:rPr>
        <mc:AlternateContent>
          <mc:Choice Requires="wps">
            <w:drawing>
              <wp:anchor distT="0" distB="0" distL="114300" distR="114300" simplePos="0" relativeHeight="251659264" behindDoc="0" locked="0" layoutInCell="1" allowOverlap="1" wp14:anchorId="60EFBFA4" wp14:editId="245753DD">
                <wp:simplePos x="0" y="0"/>
                <wp:positionH relativeFrom="column">
                  <wp:posOffset>24765</wp:posOffset>
                </wp:positionH>
                <wp:positionV relativeFrom="paragraph">
                  <wp:posOffset>118745</wp:posOffset>
                </wp:positionV>
                <wp:extent cx="5424054" cy="1752600"/>
                <wp:effectExtent l="0" t="0" r="12065" b="12700"/>
                <wp:wrapNone/>
                <wp:docPr id="972113333" name="Cuadro de texto 1"/>
                <wp:cNvGraphicFramePr/>
                <a:graphic xmlns:a="http://schemas.openxmlformats.org/drawingml/2006/main">
                  <a:graphicData uri="http://schemas.microsoft.com/office/word/2010/wordprocessingShape">
                    <wps:wsp>
                      <wps:cNvSpPr txBox="1"/>
                      <wps:spPr>
                        <a:xfrm>
                          <a:off x="0" y="0"/>
                          <a:ext cx="5424054" cy="1752600"/>
                        </a:xfrm>
                        <a:prstGeom prst="rect">
                          <a:avLst/>
                        </a:prstGeom>
                        <a:solidFill>
                          <a:schemeClr val="lt1"/>
                        </a:solidFill>
                        <a:ln w="6350">
                          <a:solidFill>
                            <a:prstClr val="black"/>
                          </a:solidFill>
                        </a:ln>
                      </wps:spPr>
                      <wps:txbx>
                        <w:txbxContent>
                          <w:p w14:paraId="5B5A546B" w14:textId="32D0598A" w:rsidR="00822B15" w:rsidRPr="00822B15" w:rsidRDefault="002F47C6">
                            <w:pPr>
                              <w:rPr>
                                <w:lang w:val="es-ES"/>
                              </w:rPr>
                            </w:pPr>
                            <w:r>
                              <w:rPr>
                                <w:lang w:val="es-ES"/>
                              </w:rPr>
                              <w:t>El proyecto radicado en el congreso el 1 de septiembre de 2025 propone reducir de 72.000 UVT a solo 40.000 UVT el monto del patrimonio l</w:t>
                            </w:r>
                            <w:r w:rsidR="00AE6262">
                              <w:rPr>
                                <w:lang w:val="es-ES"/>
                              </w:rPr>
                              <w:t>í</w:t>
                            </w:r>
                            <w:r>
                              <w:rPr>
                                <w:lang w:val="es-ES"/>
                              </w:rPr>
                              <w:t>quido fiscal pose</w:t>
                            </w:r>
                            <w:r w:rsidR="00AE6262">
                              <w:rPr>
                                <w:lang w:val="es-ES"/>
                              </w:rPr>
                              <w:t>í</w:t>
                            </w:r>
                            <w:r>
                              <w:rPr>
                                <w:lang w:val="es-ES"/>
                              </w:rPr>
                              <w:t xml:space="preserve">do a enero 1 de cada año y sobre el cual surgiría la obligación de liquidar el impuesto. Además, propone utilizar a partir del año 2026 una única tabla para liquidar el impuesto en lugar de las dos tablas que actualmente se mencionan en la norma. La nueva tabla incluso provocaría un aumento significativo en el monto del impuesto. Frente a esta propuesta, los contribuyentes tienen que estudiar oportunamente varias estrategias legales para disminuir dicho impuesto y una de  ellas es la de liquidar pronto las sucesiones ilíquidas.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EFBFA4" id="_x0000_t202" coordsize="21600,21600" o:spt="202" path="m,l,21600r21600,l21600,xe">
                <v:stroke joinstyle="miter"/>
                <v:path gradientshapeok="t" o:connecttype="rect"/>
              </v:shapetype>
              <v:shape id="Cuadro de texto 1" o:spid="_x0000_s1026" type="#_x0000_t202" style="position:absolute;margin-left:1.95pt;margin-top:9.35pt;width:427.1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" fillcolor="white [3201]" strokeweight=".5pt">
                <v:textbox>
                  <w:txbxContent>
                    <w:p w14:paraId="5B5A546B" w14:textId="32D0598A" w:rsidR="00822B15" w:rsidRPr="00822B15" w:rsidRDefault="002F47C6">
                      <w:pPr>
                        <w:rPr>
                          <w:lang w:val="es-ES"/>
                        </w:rPr>
                      </w:pPr>
                      <w:r>
                        <w:rPr>
                          <w:lang w:val="es-ES"/>
                        </w:rPr>
                        <w:t>El proyecto radicado en el congreso el 1 de septiembre de 2025 propone reducir de 72.000 UVT a solo 40.000 UVT el monto del patrimonio l</w:t>
                      </w:r>
                      <w:r w:rsidR="00AE6262">
                        <w:rPr>
                          <w:lang w:val="es-ES"/>
                        </w:rPr>
                        <w:t>í</w:t>
                      </w:r>
                      <w:r>
                        <w:rPr>
                          <w:lang w:val="es-ES"/>
                        </w:rPr>
                        <w:t>quido fiscal pose</w:t>
                      </w:r>
                      <w:r w:rsidR="00AE6262">
                        <w:rPr>
                          <w:lang w:val="es-ES"/>
                        </w:rPr>
                        <w:t>í</w:t>
                      </w:r>
                      <w:r>
                        <w:rPr>
                          <w:lang w:val="es-ES"/>
                        </w:rPr>
                        <w:t xml:space="preserve">do a enero 1 de cada año y sobre el cual surgiría la obligación de liquidar el impuesto. Además, propone utilizar a partir del año 2026 una única tabla para liquidar el impuesto en lugar de las dos tablas que actualmente se mencionan en la norma. La nueva tabla incluso provocaría un aumento significativo en el monto del impuesto. Frente a esta propuesta, los contribuyentes tienen que estudiar oportunamente varias estrategias legales para disminuir dicho impuesto y una de  ellas es la de liquidar pronto las sucesiones ilíquidas. </w:t>
                      </w:r>
                    </w:p>
                  </w:txbxContent>
                </v:textbox>
              </v:shape>
            </w:pict>
          </mc:Fallback>
        </mc:AlternateContent>
      </w:r>
    </w:p>
    <w:p w14:paraId="6B082B60" w14:textId="77777777" w:rsidR="00822B15" w:rsidRDefault="00822B15">
      <w:pPr>
        <w:rPr>
          <w:lang w:val="es-ES"/>
        </w:rPr>
      </w:pPr>
    </w:p>
    <w:p w14:paraId="3374E4C8" w14:textId="77777777" w:rsidR="001F5918" w:rsidRDefault="001F5918">
      <w:pPr>
        <w:rPr>
          <w:lang w:val="es-ES"/>
        </w:rPr>
      </w:pPr>
    </w:p>
    <w:p w14:paraId="26799D81" w14:textId="77777777" w:rsidR="001F5918" w:rsidRDefault="001F5918">
      <w:pPr>
        <w:rPr>
          <w:lang w:val="es-ES"/>
        </w:rPr>
      </w:pPr>
    </w:p>
    <w:p w14:paraId="229C3754" w14:textId="77777777" w:rsidR="00822B15" w:rsidRDefault="00822B15">
      <w:pPr>
        <w:rPr>
          <w:lang w:val="es-ES"/>
        </w:rPr>
      </w:pPr>
    </w:p>
    <w:p w14:paraId="5E0366B5" w14:textId="77777777" w:rsidR="00822B15" w:rsidRDefault="00822B15">
      <w:pPr>
        <w:rPr>
          <w:lang w:val="es-ES"/>
        </w:rPr>
      </w:pPr>
    </w:p>
    <w:p w14:paraId="43881BC0" w14:textId="77777777" w:rsidR="00822B15" w:rsidRDefault="00822B15">
      <w:pPr>
        <w:rPr>
          <w:lang w:val="es-ES"/>
        </w:rPr>
      </w:pPr>
    </w:p>
    <w:p w14:paraId="579D611A" w14:textId="77777777" w:rsidR="00822B15" w:rsidRDefault="00822B15">
      <w:pPr>
        <w:rPr>
          <w:lang w:val="es-ES"/>
        </w:rPr>
      </w:pPr>
    </w:p>
    <w:p w14:paraId="307C8413" w14:textId="77777777" w:rsidR="002F47C6" w:rsidRDefault="002F47C6">
      <w:pPr>
        <w:rPr>
          <w:lang w:val="es-ES"/>
        </w:rPr>
      </w:pPr>
    </w:p>
    <w:p w14:paraId="3C337EB8" w14:textId="77777777" w:rsidR="002F47C6" w:rsidRDefault="002F47C6">
      <w:pPr>
        <w:rPr>
          <w:lang w:val="es-ES"/>
        </w:rPr>
      </w:pPr>
    </w:p>
    <w:p w14:paraId="37B18B3C" w14:textId="77777777" w:rsidR="00AE6262" w:rsidRDefault="00AE6262">
      <w:pPr>
        <w:rPr>
          <w:lang w:val="es-ES"/>
        </w:rPr>
      </w:pPr>
    </w:p>
    <w:p w14:paraId="39C6AA7D" w14:textId="4539063F" w:rsidR="00AD4527" w:rsidRDefault="00AD4527">
      <w:pPr>
        <w:rPr>
          <w:lang w:val="es-ES"/>
        </w:rPr>
      </w:pPr>
      <w:r>
        <w:rPr>
          <w:lang w:val="es-ES"/>
        </w:rPr>
        <w:t xml:space="preserve">Entre las múltiples propuestas contenidas en el </w:t>
      </w:r>
      <w:hyperlink r:id="rId4" w:history="1">
        <w:r w:rsidRPr="001F5918">
          <w:rPr>
            <w:rStyle w:val="Hipervnculo"/>
            <w:lang w:val="es-ES"/>
          </w:rPr>
          <w:t xml:space="preserve">nuevo proyecto de reforma tributaria radicado por el Gobierno de Gustavo Petro en el congreso el </w:t>
        </w:r>
        <w:r>
          <w:rPr>
            <w:rStyle w:val="Hipervnculo"/>
            <w:lang w:val="es-ES"/>
          </w:rPr>
          <w:t>lunes</w:t>
        </w:r>
        <w:r w:rsidRPr="001F5918">
          <w:rPr>
            <w:rStyle w:val="Hipervnculo"/>
            <w:lang w:val="es-ES"/>
          </w:rPr>
          <w:t xml:space="preserve"> </w:t>
        </w:r>
        <w:r>
          <w:rPr>
            <w:rStyle w:val="Hipervnculo"/>
            <w:lang w:val="es-ES"/>
          </w:rPr>
          <w:t>1</w:t>
        </w:r>
        <w:r w:rsidRPr="001F5918">
          <w:rPr>
            <w:rStyle w:val="Hipervnculo"/>
            <w:lang w:val="es-ES"/>
          </w:rPr>
          <w:t xml:space="preserve"> de septiembre de 202</w:t>
        </w:r>
        <w:r>
          <w:rPr>
            <w:rStyle w:val="Hipervnculo"/>
            <w:lang w:val="es-ES"/>
          </w:rPr>
          <w:t>5</w:t>
        </w:r>
      </w:hyperlink>
      <w:r>
        <w:rPr>
          <w:lang w:val="es-ES"/>
        </w:rPr>
        <w:t xml:space="preserve"> (y que será tramitado como </w:t>
      </w:r>
      <w:hyperlink r:id="rId5" w:history="1">
        <w:r w:rsidRPr="00396000">
          <w:rPr>
            <w:rStyle w:val="Hipervnculo"/>
            <w:lang w:val="es-ES"/>
          </w:rPr>
          <w:t>un Proyecto de Ley de financiamiento</w:t>
        </w:r>
      </w:hyperlink>
      <w:r>
        <w:rPr>
          <w:lang w:val="es-ES"/>
        </w:rPr>
        <w:t xml:space="preserve"> regulado por el artículo 347 de la Constitución Nacional con miras a conseguir cerca de 26 billones de pesos que permitan cubrir </w:t>
      </w:r>
      <w:hyperlink r:id="rId6" w:history="1">
        <w:r w:rsidRPr="007A0F28">
          <w:rPr>
            <w:rStyle w:val="Hipervnculo"/>
            <w:lang w:val="es-ES"/>
          </w:rPr>
          <w:t>la financiación del presupuesto público de la Nación para el año 202</w:t>
        </w:r>
        <w:r>
          <w:rPr>
            <w:rStyle w:val="Hipervnculo"/>
            <w:lang w:val="es-ES"/>
          </w:rPr>
          <w:t>6</w:t>
        </w:r>
        <w:r w:rsidRPr="007A0F28">
          <w:rPr>
            <w:rStyle w:val="Hipervnculo"/>
            <w:lang w:val="es-ES"/>
          </w:rPr>
          <w:t xml:space="preserve"> que se empezó a discutir </w:t>
        </w:r>
        <w:r>
          <w:rPr>
            <w:rStyle w:val="Hipervnculo"/>
            <w:lang w:val="es-ES"/>
          </w:rPr>
          <w:t xml:space="preserve">desde julio de 2025 </w:t>
        </w:r>
        <w:r w:rsidRPr="007A0F28">
          <w:rPr>
            <w:rStyle w:val="Hipervnculo"/>
            <w:lang w:val="es-ES"/>
          </w:rPr>
          <w:t>en el congreso</w:t>
        </w:r>
      </w:hyperlink>
      <w:r>
        <w:rPr>
          <w:lang w:val="es-ES"/>
        </w:rPr>
        <w:t>),</w:t>
      </w:r>
      <w:r>
        <w:rPr>
          <w:lang w:val="es-ES"/>
        </w:rPr>
        <w:t xml:space="preserve"> </w:t>
      </w:r>
      <w:r w:rsidR="001F5918">
        <w:rPr>
          <w:lang w:val="es-ES"/>
        </w:rPr>
        <w:t xml:space="preserve">se incluyeron las de modificar los artículos </w:t>
      </w:r>
      <w:hyperlink r:id="rId7" w:anchor="294-3" w:history="1">
        <w:r w:rsidR="007A0F28" w:rsidRPr="00200A21">
          <w:rPr>
            <w:rStyle w:val="Hipervnculo"/>
            <w:lang w:val="es-ES"/>
          </w:rPr>
          <w:t>294-3 y 29</w:t>
        </w:r>
        <w:r>
          <w:rPr>
            <w:rStyle w:val="Hipervnculo"/>
            <w:lang w:val="es-ES"/>
          </w:rPr>
          <w:t>6</w:t>
        </w:r>
        <w:r w:rsidR="007A0F28" w:rsidRPr="00200A21">
          <w:rPr>
            <w:rStyle w:val="Hipervnculo"/>
            <w:lang w:val="es-ES"/>
          </w:rPr>
          <w:t>-3 del ET</w:t>
        </w:r>
      </w:hyperlink>
      <w:r w:rsidR="007A0F28">
        <w:rPr>
          <w:lang w:val="es-ES"/>
        </w:rPr>
        <w:t xml:space="preserve"> para </w:t>
      </w:r>
      <w:r>
        <w:rPr>
          <w:lang w:val="es-ES"/>
        </w:rPr>
        <w:t>introducir dos grandes cambios a las normas que regulan el impuesto al patrimonio que recae sobre las personas naturales y sucesiones ilíquidas (residentes o no residentes, del régimen ordinario o del régimen simple).</w:t>
      </w:r>
    </w:p>
    <w:p w14:paraId="027057D8" w14:textId="77777777" w:rsidR="00AD4527" w:rsidRDefault="00AD4527">
      <w:pPr>
        <w:rPr>
          <w:lang w:val="es-ES"/>
        </w:rPr>
      </w:pPr>
    </w:p>
    <w:p w14:paraId="4BA2FFCE" w14:textId="23420BCF" w:rsidR="001F5918" w:rsidRDefault="00AD4527">
      <w:pPr>
        <w:rPr>
          <w:lang w:val="es-ES"/>
        </w:rPr>
      </w:pPr>
      <w:r>
        <w:rPr>
          <w:lang w:val="es-ES"/>
        </w:rPr>
        <w:t>En primer lugar, con la modificación al artículo 294-3 del ET, se terminaría disminuyendo el monto del patrimonio líquido fiscal pose</w:t>
      </w:r>
      <w:r w:rsidR="00AE6262">
        <w:rPr>
          <w:lang w:val="es-ES"/>
        </w:rPr>
        <w:t>í</w:t>
      </w:r>
      <w:r>
        <w:rPr>
          <w:lang w:val="es-ES"/>
        </w:rPr>
        <w:t xml:space="preserve">do a enero 1 de cada año y con el cual se origina la obligación de liquidar el impuesto. Y en segundo lugar, con la modificación al </w:t>
      </w:r>
      <w:proofErr w:type="spellStart"/>
      <w:r>
        <w:rPr>
          <w:lang w:val="es-ES"/>
        </w:rPr>
        <w:t>articulo</w:t>
      </w:r>
      <w:proofErr w:type="spellEnd"/>
      <w:r>
        <w:rPr>
          <w:lang w:val="es-ES"/>
        </w:rPr>
        <w:t xml:space="preserve"> 296-3 del ET se aumentarían las tarifas para liquidar el mencionado impuesto</w:t>
      </w:r>
      <w:r w:rsidR="00AE6262">
        <w:rPr>
          <w:lang w:val="es-ES"/>
        </w:rPr>
        <w:t>.</w:t>
      </w:r>
    </w:p>
    <w:p w14:paraId="0F47A789" w14:textId="77777777" w:rsidR="00AE6262" w:rsidRDefault="00AE6262">
      <w:pPr>
        <w:rPr>
          <w:lang w:val="es-ES"/>
        </w:rPr>
      </w:pPr>
    </w:p>
    <w:p w14:paraId="7372F80C" w14:textId="7E07E0CA" w:rsidR="007A0F28" w:rsidRDefault="007A0F28">
      <w:pPr>
        <w:rPr>
          <w:lang w:val="es-ES"/>
        </w:rPr>
      </w:pPr>
      <w:r>
        <w:rPr>
          <w:lang w:val="es-ES"/>
        </w:rPr>
        <w:t>Para entender las modificaciones propuestas a dichos artículos, a continuación presentamos su versión comparativa</w:t>
      </w:r>
      <w:r w:rsidR="009D1136">
        <w:rPr>
          <w:lang w:val="es-ES"/>
        </w:rPr>
        <w:t xml:space="preserve"> (los subrayados son nuestros)</w:t>
      </w:r>
    </w:p>
    <w:p w14:paraId="1CA2EA8F" w14:textId="77777777" w:rsidR="00200A21" w:rsidRDefault="00200A21">
      <w:pPr>
        <w:rPr>
          <w:lang w:val="es-ES"/>
        </w:rPr>
      </w:pPr>
    </w:p>
    <w:tbl>
      <w:tblPr>
        <w:tblStyle w:val="Tablaconcuadrcula"/>
        <w:tblW w:w="0" w:type="auto"/>
        <w:tblLook w:val="04A0" w:firstRow="1" w:lastRow="0" w:firstColumn="1" w:lastColumn="0" w:noHBand="0" w:noVBand="1"/>
      </w:tblPr>
      <w:tblGrid>
        <w:gridCol w:w="4414"/>
        <w:gridCol w:w="4414"/>
      </w:tblGrid>
      <w:tr w:rsidR="00200A21" w14:paraId="40BBAC86" w14:textId="77777777" w:rsidTr="00200A21">
        <w:tc>
          <w:tcPr>
            <w:tcW w:w="4414" w:type="dxa"/>
          </w:tcPr>
          <w:p w14:paraId="310D2FB7" w14:textId="77777777" w:rsidR="00200A21" w:rsidRDefault="00200A21" w:rsidP="00200A21">
            <w:pPr>
              <w:jc w:val="center"/>
              <w:rPr>
                <w:lang w:val="es-ES"/>
              </w:rPr>
            </w:pPr>
            <w:r>
              <w:rPr>
                <w:lang w:val="es-ES"/>
              </w:rPr>
              <w:t>Versión actual de la norma</w:t>
            </w:r>
          </w:p>
        </w:tc>
        <w:tc>
          <w:tcPr>
            <w:tcW w:w="4414" w:type="dxa"/>
          </w:tcPr>
          <w:p w14:paraId="61EC490F" w14:textId="77777777" w:rsidR="00200A21" w:rsidRDefault="00200A21" w:rsidP="00200A21">
            <w:pPr>
              <w:jc w:val="center"/>
              <w:rPr>
                <w:lang w:val="es-ES"/>
              </w:rPr>
            </w:pPr>
            <w:r>
              <w:rPr>
                <w:lang w:val="es-ES"/>
              </w:rPr>
              <w:t>Nueva versión con que quedaría la norma si se aprueba la proposición del proyecto de Ley</w:t>
            </w:r>
          </w:p>
        </w:tc>
      </w:tr>
      <w:tr w:rsidR="00AD4527" w14:paraId="6B918CD5" w14:textId="77777777" w:rsidTr="00200A21">
        <w:tc>
          <w:tcPr>
            <w:tcW w:w="4414" w:type="dxa"/>
          </w:tcPr>
          <w:p w14:paraId="63CF34F6" w14:textId="03424B2B" w:rsidR="00AD4527" w:rsidRPr="001C00AA" w:rsidRDefault="001C00AA" w:rsidP="00AD4527">
            <w:pPr>
              <w:jc w:val="both"/>
              <w:rPr>
                <w:i/>
                <w:iCs/>
                <w:sz w:val="18"/>
                <w:szCs w:val="18"/>
                <w:lang w:val="es-ES"/>
              </w:rPr>
            </w:pPr>
            <w:bookmarkStart w:id="0" w:name="294-3"/>
            <w:r w:rsidRPr="001C00AA">
              <w:rPr>
                <w:b/>
                <w:bCs/>
                <w:i/>
                <w:iCs/>
                <w:sz w:val="18"/>
                <w:szCs w:val="18"/>
                <w:lang w:val="es-ES"/>
              </w:rPr>
              <w:t>Artículo 294-3. Hecho generador</w:t>
            </w:r>
            <w:r w:rsidR="00AD4527" w:rsidRPr="001C00AA">
              <w:rPr>
                <w:i/>
                <w:iCs/>
                <w:sz w:val="18"/>
                <w:szCs w:val="18"/>
                <w:lang w:val="es-ES"/>
              </w:rPr>
              <w:t>.</w:t>
            </w:r>
            <w:bookmarkEnd w:id="0"/>
            <w:r w:rsidR="00AD4527" w:rsidRPr="001C00AA">
              <w:rPr>
                <w:i/>
                <w:iCs/>
                <w:sz w:val="18"/>
                <w:szCs w:val="18"/>
                <w:lang w:val="es-ES"/>
              </w:rPr>
              <w:t> </w:t>
            </w:r>
            <w:r w:rsidR="00AD4527" w:rsidRPr="001C00AA">
              <w:rPr>
                <w:i/>
                <w:iCs/>
                <w:sz w:val="18"/>
                <w:szCs w:val="18"/>
                <w:lang w:val="es-ES"/>
              </w:rPr>
              <w:t xml:space="preserve"> </w:t>
            </w:r>
            <w:r w:rsidR="00AD4527" w:rsidRPr="001C00AA">
              <w:rPr>
                <w:i/>
                <w:iCs/>
                <w:sz w:val="18"/>
                <w:szCs w:val="18"/>
                <w:lang w:val="es-ES"/>
              </w:rPr>
              <w:t xml:space="preserve"> El impuesto al patrimonio se genera por la posesión del mismo al primero (1) de enero de cada año, cuyo valor sea igual o superior a </w:t>
            </w:r>
            <w:r w:rsidR="00AD4527" w:rsidRPr="001C00AA">
              <w:rPr>
                <w:i/>
                <w:iCs/>
                <w:sz w:val="18"/>
                <w:szCs w:val="18"/>
                <w:highlight w:val="yellow"/>
                <w:lang w:val="es-ES"/>
              </w:rPr>
              <w:t>setenta y dos mil (72.000)</w:t>
            </w:r>
            <w:r w:rsidR="00AD4527" w:rsidRPr="001C00AA">
              <w:rPr>
                <w:i/>
                <w:iCs/>
                <w:sz w:val="18"/>
                <w:szCs w:val="18"/>
                <w:lang w:val="es-ES"/>
              </w:rPr>
              <w:t xml:space="preserve"> UVT. Para efectos de este gravamen, el concepto de patrimonio es equivalente al patrimonio líquido calculado tomando el total del </w:t>
            </w:r>
            <w:r w:rsidR="00AD4527" w:rsidRPr="001C00AA">
              <w:rPr>
                <w:i/>
                <w:iCs/>
                <w:sz w:val="18"/>
                <w:szCs w:val="18"/>
                <w:lang w:val="es-ES"/>
              </w:rPr>
              <w:lastRenderedPageBreak/>
              <w:t>patrimonio bruto del contribuyente poseído en la misma fecha menos las deudas a cargo del contribuyente vigentes en esa fecha.</w:t>
            </w:r>
          </w:p>
          <w:p w14:paraId="58CDE92B" w14:textId="7AB1A2CF" w:rsidR="00AD4527" w:rsidRPr="001C00AA" w:rsidRDefault="00AD4527" w:rsidP="00AD4527">
            <w:pPr>
              <w:jc w:val="both"/>
              <w:rPr>
                <w:i/>
                <w:iCs/>
                <w:sz w:val="18"/>
                <w:szCs w:val="18"/>
                <w:lang w:val="es-ES"/>
              </w:rPr>
            </w:pPr>
          </w:p>
        </w:tc>
        <w:tc>
          <w:tcPr>
            <w:tcW w:w="4414" w:type="dxa"/>
          </w:tcPr>
          <w:p w14:paraId="2F5938F3" w14:textId="214A740F" w:rsidR="00AD4527" w:rsidRDefault="001C00AA" w:rsidP="001C00AA">
            <w:pPr>
              <w:jc w:val="both"/>
              <w:rPr>
                <w:i/>
                <w:iCs/>
                <w:sz w:val="18"/>
                <w:szCs w:val="18"/>
                <w:lang w:val="es-ES"/>
              </w:rPr>
            </w:pPr>
            <w:r w:rsidRPr="001C00AA">
              <w:rPr>
                <w:b/>
                <w:bCs/>
                <w:i/>
                <w:iCs/>
                <w:sz w:val="18"/>
                <w:szCs w:val="18"/>
                <w:lang w:val="es-ES"/>
              </w:rPr>
              <w:lastRenderedPageBreak/>
              <w:t>Artículo 294-3. Hecho generador</w:t>
            </w:r>
            <w:r w:rsidR="00AD4527" w:rsidRPr="001C00AA">
              <w:rPr>
                <w:i/>
                <w:iCs/>
                <w:sz w:val="18"/>
                <w:szCs w:val="18"/>
                <w:lang w:val="es-ES"/>
              </w:rPr>
              <w:t>. </w:t>
            </w:r>
            <w:r w:rsidR="00AD4527" w:rsidRPr="001C00AA">
              <w:rPr>
                <w:b/>
                <w:bCs/>
                <w:i/>
                <w:iCs/>
                <w:color w:val="FF0000"/>
                <w:sz w:val="18"/>
                <w:szCs w:val="18"/>
                <w:lang w:val="es-ES"/>
              </w:rPr>
              <w:t>(versión con que quedaría de acuerdo con el artículo 18 del proyecto de Ley</w:t>
            </w:r>
            <w:r w:rsidR="00AD4527" w:rsidRPr="001C00AA">
              <w:rPr>
                <w:i/>
                <w:iCs/>
                <w:sz w:val="18"/>
                <w:szCs w:val="18"/>
                <w:lang w:val="es-ES"/>
              </w:rPr>
              <w:t>)</w:t>
            </w:r>
            <w:r w:rsidRPr="001C00AA">
              <w:rPr>
                <w:i/>
                <w:iCs/>
                <w:sz w:val="18"/>
                <w:szCs w:val="18"/>
                <w:lang w:val="es-ES"/>
              </w:rPr>
              <w:t>.</w:t>
            </w:r>
            <w:r w:rsidR="00AD4527" w:rsidRPr="001C00AA">
              <w:rPr>
                <w:i/>
                <w:iCs/>
                <w:sz w:val="18"/>
                <w:szCs w:val="18"/>
                <w:lang w:val="es-ES"/>
              </w:rPr>
              <w:t xml:space="preserve"> </w:t>
            </w:r>
            <w:r w:rsidRPr="001C00AA">
              <w:rPr>
                <w:i/>
                <w:iCs/>
                <w:sz w:val="18"/>
                <w:szCs w:val="18"/>
              </w:rPr>
              <w:t xml:space="preserve">El </w:t>
            </w:r>
            <w:r w:rsidRPr="001C00AA">
              <w:rPr>
                <w:i/>
                <w:iCs/>
                <w:sz w:val="18"/>
                <w:szCs w:val="18"/>
                <w:lang w:val="es-ES"/>
              </w:rPr>
              <w:t xml:space="preserve">impuesto al patrimonio </w:t>
            </w:r>
            <w:r w:rsidRPr="001C00AA">
              <w:rPr>
                <w:b/>
                <w:bCs/>
                <w:i/>
                <w:iCs/>
                <w:sz w:val="18"/>
                <w:szCs w:val="18"/>
                <w:highlight w:val="yellow"/>
                <w:u w:val="single"/>
                <w:lang w:val="es-ES"/>
              </w:rPr>
              <w:t>para los contribuyentes</w:t>
            </w:r>
            <w:r w:rsidRPr="001C00AA">
              <w:rPr>
                <w:i/>
                <w:iCs/>
                <w:sz w:val="18"/>
                <w:szCs w:val="18"/>
                <w:lang w:val="es-ES"/>
              </w:rPr>
              <w:t xml:space="preserve"> se genera por la posesión del mismo al primero (1) de enero de cada año, cuyo valor sea igual o superior a </w:t>
            </w:r>
            <w:r w:rsidRPr="001C00AA">
              <w:rPr>
                <w:i/>
                <w:iCs/>
                <w:sz w:val="18"/>
                <w:szCs w:val="18"/>
                <w:highlight w:val="yellow"/>
                <w:lang w:val="es-ES"/>
              </w:rPr>
              <w:t>cuarenta mil (40.000)</w:t>
            </w:r>
            <w:r w:rsidRPr="001C00AA">
              <w:rPr>
                <w:i/>
                <w:iCs/>
                <w:sz w:val="18"/>
                <w:szCs w:val="18"/>
                <w:lang w:val="es-ES"/>
              </w:rPr>
              <w:t xml:space="preserve"> UVT. Para efectos de este gravamen, el concepto </w:t>
            </w:r>
            <w:r w:rsidRPr="001C00AA">
              <w:rPr>
                <w:i/>
                <w:iCs/>
                <w:sz w:val="18"/>
                <w:szCs w:val="18"/>
                <w:lang w:val="es-ES"/>
              </w:rPr>
              <w:lastRenderedPageBreak/>
              <w:t>de patrimonio es equivalente al patrimonio líquido calculado tomando el total del patrimonio bruto del contribuyente poseído en la misma fecha menos las deudas a cargo del contribuyente vigentes en esa fecha.</w:t>
            </w:r>
          </w:p>
          <w:p w14:paraId="09069E26" w14:textId="77777777" w:rsidR="001C00AA" w:rsidRPr="001C00AA" w:rsidRDefault="001C00AA" w:rsidP="001C00AA">
            <w:pPr>
              <w:jc w:val="both"/>
              <w:rPr>
                <w:i/>
                <w:iCs/>
                <w:sz w:val="18"/>
                <w:szCs w:val="18"/>
                <w:lang w:val="es-ES"/>
              </w:rPr>
            </w:pPr>
          </w:p>
          <w:p w14:paraId="38D8ADD5" w14:textId="4EB68D51" w:rsidR="001C00AA" w:rsidRPr="001C00AA" w:rsidRDefault="001C00AA" w:rsidP="001C00AA">
            <w:pPr>
              <w:jc w:val="both"/>
              <w:rPr>
                <w:i/>
                <w:iCs/>
                <w:color w:val="0070C0"/>
                <w:sz w:val="18"/>
                <w:szCs w:val="18"/>
              </w:rPr>
            </w:pPr>
          </w:p>
        </w:tc>
      </w:tr>
      <w:tr w:rsidR="001C00AA" w14:paraId="1296031D" w14:textId="77777777" w:rsidTr="00200A21">
        <w:tc>
          <w:tcPr>
            <w:tcW w:w="4414" w:type="dxa"/>
          </w:tcPr>
          <w:p w14:paraId="02B6ABAC" w14:textId="4844ACE8" w:rsidR="001C00AA" w:rsidRPr="001C00AA" w:rsidRDefault="001C00AA" w:rsidP="001C00AA">
            <w:pPr>
              <w:jc w:val="both"/>
              <w:rPr>
                <w:rFonts w:ascii="Cambria" w:hAnsi="Cambria"/>
                <w:i/>
                <w:iCs/>
                <w:sz w:val="18"/>
                <w:szCs w:val="18"/>
              </w:rPr>
            </w:pPr>
            <w:r w:rsidRPr="001C00AA">
              <w:rPr>
                <w:rFonts w:ascii="Cambria" w:hAnsi="Cambria"/>
                <w:b/>
                <w:bCs/>
                <w:i/>
                <w:iCs/>
                <w:sz w:val="18"/>
                <w:szCs w:val="18"/>
              </w:rPr>
              <w:lastRenderedPageBreak/>
              <w:t xml:space="preserve">Artículo 296-3. Tarifa </w:t>
            </w:r>
            <w:r w:rsidRPr="001C00AA">
              <w:rPr>
                <w:rFonts w:ascii="Cambria" w:hAnsi="Cambria"/>
                <w:i/>
                <w:iCs/>
                <w:sz w:val="18"/>
                <w:szCs w:val="18"/>
              </w:rPr>
              <w:t>El impuesto al patrimonio se determinará de acuerdo con la siguiente tabla: </w:t>
            </w:r>
          </w:p>
          <w:p w14:paraId="34E48943" w14:textId="77777777" w:rsidR="001C00AA" w:rsidRPr="001C00AA" w:rsidRDefault="001C00AA" w:rsidP="001C00AA">
            <w:pPr>
              <w:jc w:val="both"/>
              <w:rPr>
                <w:rFonts w:ascii="Cambria" w:hAnsi="Cambria"/>
                <w:i/>
                <w:iCs/>
                <w:sz w:val="18"/>
                <w:szCs w:val="18"/>
              </w:rPr>
            </w:pPr>
          </w:p>
          <w:p w14:paraId="3E72B223" w14:textId="77777777" w:rsidR="001C00AA" w:rsidRPr="001C00AA" w:rsidRDefault="001C00AA" w:rsidP="001C00AA">
            <w:pPr>
              <w:jc w:val="both"/>
              <w:rPr>
                <w:rFonts w:ascii="Cambria" w:hAnsi="Cambria"/>
                <w:i/>
                <w:iCs/>
                <w:sz w:val="18"/>
                <w:szCs w:val="18"/>
              </w:rPr>
            </w:pPr>
          </w:p>
          <w:tbl>
            <w:tblPr>
              <w:tblStyle w:val="Tablaconcuadrcula"/>
              <w:tblW w:w="0" w:type="auto"/>
              <w:tblInd w:w="325" w:type="dxa"/>
              <w:tblLook w:val="04A0" w:firstRow="1" w:lastRow="0" w:firstColumn="1" w:lastColumn="0" w:noHBand="0" w:noVBand="1"/>
            </w:tblPr>
            <w:tblGrid>
              <w:gridCol w:w="922"/>
              <w:gridCol w:w="921"/>
              <w:gridCol w:w="963"/>
              <w:gridCol w:w="1057"/>
            </w:tblGrid>
            <w:tr w:rsidR="001C00AA" w:rsidRPr="00F05731" w14:paraId="0E7DDB0C" w14:textId="77777777" w:rsidTr="00CB7DAB">
              <w:tc>
                <w:tcPr>
                  <w:tcW w:w="1873" w:type="dxa"/>
                  <w:gridSpan w:val="2"/>
                </w:tcPr>
                <w:p w14:paraId="5128B2EE" w14:textId="77777777" w:rsidR="001C00AA" w:rsidRPr="00F05731" w:rsidRDefault="001C00AA" w:rsidP="001C00AA">
                  <w:pPr>
                    <w:jc w:val="center"/>
                    <w:rPr>
                      <w:rFonts w:ascii="Cambria" w:hAnsi="Cambria"/>
                      <w:i/>
                      <w:iCs/>
                      <w:sz w:val="18"/>
                      <w:szCs w:val="18"/>
                      <w:highlight w:val="yellow"/>
                    </w:rPr>
                  </w:pPr>
                  <w:r w:rsidRPr="00F05731">
                    <w:rPr>
                      <w:rFonts w:ascii="Cambria" w:hAnsi="Cambria"/>
                      <w:i/>
                      <w:iCs/>
                      <w:sz w:val="18"/>
                      <w:szCs w:val="18"/>
                      <w:highlight w:val="yellow"/>
                    </w:rPr>
                    <w:t>Rangos UVT</w:t>
                  </w:r>
                </w:p>
              </w:tc>
              <w:tc>
                <w:tcPr>
                  <w:tcW w:w="992" w:type="dxa"/>
                  <w:vMerge w:val="restart"/>
                </w:tcPr>
                <w:p w14:paraId="21653E43"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Tarifa Marginal</w:t>
                  </w:r>
                </w:p>
              </w:tc>
              <w:tc>
                <w:tcPr>
                  <w:tcW w:w="1134" w:type="dxa"/>
                  <w:vMerge w:val="restart"/>
                </w:tcPr>
                <w:p w14:paraId="44125619"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Impuesto</w:t>
                  </w:r>
                </w:p>
              </w:tc>
            </w:tr>
            <w:tr w:rsidR="001C00AA" w:rsidRPr="00F05731" w14:paraId="40119D58" w14:textId="77777777" w:rsidTr="00CB7DAB">
              <w:tc>
                <w:tcPr>
                  <w:tcW w:w="924" w:type="dxa"/>
                </w:tcPr>
                <w:p w14:paraId="0D49064C"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 xml:space="preserve">Desde </w:t>
                  </w:r>
                </w:p>
              </w:tc>
              <w:tc>
                <w:tcPr>
                  <w:tcW w:w="949" w:type="dxa"/>
                </w:tcPr>
                <w:p w14:paraId="45834828"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Hasta</w:t>
                  </w:r>
                </w:p>
              </w:tc>
              <w:tc>
                <w:tcPr>
                  <w:tcW w:w="992" w:type="dxa"/>
                  <w:vMerge/>
                </w:tcPr>
                <w:p w14:paraId="5874095C" w14:textId="77777777" w:rsidR="001C00AA" w:rsidRPr="00F05731" w:rsidRDefault="001C00AA" w:rsidP="001C00AA">
                  <w:pPr>
                    <w:jc w:val="both"/>
                    <w:rPr>
                      <w:rFonts w:ascii="Cambria" w:hAnsi="Cambria"/>
                      <w:i/>
                      <w:iCs/>
                      <w:sz w:val="18"/>
                      <w:szCs w:val="18"/>
                      <w:highlight w:val="yellow"/>
                    </w:rPr>
                  </w:pPr>
                </w:p>
              </w:tc>
              <w:tc>
                <w:tcPr>
                  <w:tcW w:w="1134" w:type="dxa"/>
                  <w:vMerge/>
                </w:tcPr>
                <w:p w14:paraId="7697FEA9" w14:textId="77777777" w:rsidR="001C00AA" w:rsidRPr="00F05731" w:rsidRDefault="001C00AA" w:rsidP="001C00AA">
                  <w:pPr>
                    <w:jc w:val="both"/>
                    <w:rPr>
                      <w:rFonts w:ascii="Cambria" w:hAnsi="Cambria"/>
                      <w:i/>
                      <w:iCs/>
                      <w:sz w:val="18"/>
                      <w:szCs w:val="18"/>
                      <w:highlight w:val="yellow"/>
                    </w:rPr>
                  </w:pPr>
                </w:p>
              </w:tc>
            </w:tr>
            <w:tr w:rsidR="001C00AA" w:rsidRPr="00F05731" w14:paraId="040B6C58" w14:textId="77777777" w:rsidTr="00CB7DAB">
              <w:tc>
                <w:tcPr>
                  <w:tcW w:w="924" w:type="dxa"/>
                </w:tcPr>
                <w:p w14:paraId="7ECE0DDC" w14:textId="77777777" w:rsidR="001C00AA" w:rsidRPr="00F05731" w:rsidRDefault="001C00AA" w:rsidP="001C00AA">
                  <w:pPr>
                    <w:jc w:val="both"/>
                    <w:rPr>
                      <w:rFonts w:ascii="Cambria" w:hAnsi="Cambria"/>
                      <w:i/>
                      <w:iCs/>
                      <w:sz w:val="18"/>
                      <w:szCs w:val="18"/>
                      <w:highlight w:val="yellow"/>
                      <w:lang w:val="en-US"/>
                    </w:rPr>
                  </w:pPr>
                  <w:r w:rsidRPr="00F05731">
                    <w:rPr>
                      <w:rFonts w:ascii="Cambria" w:hAnsi="Cambria"/>
                      <w:i/>
                      <w:iCs/>
                      <w:sz w:val="18"/>
                      <w:szCs w:val="18"/>
                      <w:highlight w:val="yellow"/>
                      <w:lang w:val="en-US"/>
                    </w:rPr>
                    <w:t>&gt;0</w:t>
                  </w:r>
                </w:p>
              </w:tc>
              <w:tc>
                <w:tcPr>
                  <w:tcW w:w="949" w:type="dxa"/>
                </w:tcPr>
                <w:p w14:paraId="41F6A968"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72.000</w:t>
                  </w:r>
                </w:p>
              </w:tc>
              <w:tc>
                <w:tcPr>
                  <w:tcW w:w="992" w:type="dxa"/>
                </w:tcPr>
                <w:p w14:paraId="2ECDD79E"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0,0%</w:t>
                  </w:r>
                </w:p>
              </w:tc>
              <w:tc>
                <w:tcPr>
                  <w:tcW w:w="1134" w:type="dxa"/>
                </w:tcPr>
                <w:p w14:paraId="29D5A443"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w:t>
                  </w:r>
                </w:p>
              </w:tc>
            </w:tr>
            <w:tr w:rsidR="001C00AA" w:rsidRPr="00F05731" w14:paraId="03AE8C56" w14:textId="77777777" w:rsidTr="00CB7DAB">
              <w:tc>
                <w:tcPr>
                  <w:tcW w:w="924" w:type="dxa"/>
                </w:tcPr>
                <w:p w14:paraId="454822D1"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&gt;72.000</w:t>
                  </w:r>
                </w:p>
              </w:tc>
              <w:tc>
                <w:tcPr>
                  <w:tcW w:w="949" w:type="dxa"/>
                </w:tcPr>
                <w:p w14:paraId="7B6C8443"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122.000</w:t>
                  </w:r>
                </w:p>
              </w:tc>
              <w:tc>
                <w:tcPr>
                  <w:tcW w:w="992" w:type="dxa"/>
                </w:tcPr>
                <w:p w14:paraId="0D1B0477"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0,5%</w:t>
                  </w:r>
                </w:p>
              </w:tc>
              <w:tc>
                <w:tcPr>
                  <w:tcW w:w="1134" w:type="dxa"/>
                </w:tcPr>
                <w:p w14:paraId="608701F3"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w:t>
                  </w:r>
                </w:p>
                <w:p w14:paraId="3662B460" w14:textId="77777777"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72.000 UVT) x 0,5% </w:t>
                  </w:r>
                </w:p>
              </w:tc>
            </w:tr>
            <w:tr w:rsidR="001C00AA" w:rsidRPr="00F05731" w14:paraId="777C401A" w14:textId="77777777" w:rsidTr="00CB7DAB">
              <w:tc>
                <w:tcPr>
                  <w:tcW w:w="924" w:type="dxa"/>
                </w:tcPr>
                <w:p w14:paraId="5A4A8154"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&gt;122.000</w:t>
                  </w:r>
                </w:p>
              </w:tc>
              <w:tc>
                <w:tcPr>
                  <w:tcW w:w="949" w:type="dxa"/>
                </w:tcPr>
                <w:p w14:paraId="7750554B"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239.000</w:t>
                  </w:r>
                </w:p>
              </w:tc>
              <w:tc>
                <w:tcPr>
                  <w:tcW w:w="992" w:type="dxa"/>
                </w:tcPr>
                <w:p w14:paraId="5FE52005"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1,0%</w:t>
                  </w:r>
                </w:p>
              </w:tc>
              <w:tc>
                <w:tcPr>
                  <w:tcW w:w="1134" w:type="dxa"/>
                </w:tcPr>
                <w:p w14:paraId="740A50BB"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w:t>
                  </w:r>
                </w:p>
                <w:p w14:paraId="4AC80BDF" w14:textId="77777777"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122.000 UVT) x 1,0% + 250 UVT </w:t>
                  </w:r>
                </w:p>
              </w:tc>
            </w:tr>
            <w:tr w:rsidR="001C00AA" w:rsidRPr="00F05731" w14:paraId="3F979104" w14:textId="77777777" w:rsidTr="00CB7DAB">
              <w:tc>
                <w:tcPr>
                  <w:tcW w:w="924" w:type="dxa"/>
                </w:tcPr>
                <w:p w14:paraId="74B41A55"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&gt;239.000</w:t>
                  </w:r>
                </w:p>
              </w:tc>
              <w:tc>
                <w:tcPr>
                  <w:tcW w:w="949" w:type="dxa"/>
                </w:tcPr>
                <w:p w14:paraId="3C631681"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En adelante</w:t>
                  </w:r>
                </w:p>
              </w:tc>
              <w:tc>
                <w:tcPr>
                  <w:tcW w:w="992" w:type="dxa"/>
                </w:tcPr>
                <w:p w14:paraId="406334CB"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1,5%</w:t>
                  </w:r>
                </w:p>
              </w:tc>
              <w:tc>
                <w:tcPr>
                  <w:tcW w:w="1134" w:type="dxa"/>
                </w:tcPr>
                <w:p w14:paraId="38ED3919"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239.000 UVT) x 1,5% + 1.420 </w:t>
                  </w:r>
                </w:p>
                <w:p w14:paraId="7FB43664" w14:textId="77777777"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UVT </w:t>
                  </w:r>
                </w:p>
              </w:tc>
            </w:tr>
          </w:tbl>
          <w:p w14:paraId="34A31581" w14:textId="77777777" w:rsidR="001C00AA" w:rsidRPr="00F05731" w:rsidRDefault="001C00AA" w:rsidP="001C00AA">
            <w:pPr>
              <w:rPr>
                <w:i/>
                <w:iCs/>
                <w:sz w:val="18"/>
                <w:szCs w:val="18"/>
                <w:highlight w:val="yellow"/>
              </w:rPr>
            </w:pPr>
          </w:p>
          <w:p w14:paraId="6F7CC18A"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b/>
                <w:bCs/>
                <w:i/>
                <w:iCs/>
                <w:sz w:val="18"/>
                <w:szCs w:val="18"/>
                <w:highlight w:val="yellow"/>
              </w:rPr>
              <w:t xml:space="preserve">PARÁGRAFO. </w:t>
            </w:r>
            <w:r w:rsidRPr="00F05731">
              <w:rPr>
                <w:rFonts w:ascii="Cambria" w:hAnsi="Cambria" w:cs="Arial"/>
                <w:i/>
                <w:iCs/>
                <w:sz w:val="18"/>
                <w:szCs w:val="18"/>
                <w:highlight w:val="yellow"/>
              </w:rPr>
              <w:t>La tarifa del 1,5% sólo aplicará de manera temporal durante los años 2023, 2024, 2025 y 2026. A partir del año 2027, aplicará la siguiente tabla: </w:t>
            </w:r>
          </w:p>
          <w:p w14:paraId="2019B682" w14:textId="77777777" w:rsidR="001C00AA" w:rsidRPr="00F05731" w:rsidRDefault="001C00AA" w:rsidP="001C00AA">
            <w:pPr>
              <w:rPr>
                <w:i/>
                <w:iCs/>
                <w:sz w:val="18"/>
                <w:szCs w:val="18"/>
                <w:highlight w:val="yellow"/>
              </w:rPr>
            </w:pPr>
          </w:p>
          <w:tbl>
            <w:tblPr>
              <w:tblStyle w:val="Tablaconcuadrcula"/>
              <w:tblW w:w="0" w:type="auto"/>
              <w:tblInd w:w="325" w:type="dxa"/>
              <w:tblLook w:val="04A0" w:firstRow="1" w:lastRow="0" w:firstColumn="1" w:lastColumn="0" w:noHBand="0" w:noVBand="1"/>
            </w:tblPr>
            <w:tblGrid>
              <w:gridCol w:w="922"/>
              <w:gridCol w:w="910"/>
              <w:gridCol w:w="966"/>
              <w:gridCol w:w="1065"/>
            </w:tblGrid>
            <w:tr w:rsidR="001C00AA" w:rsidRPr="00F05731" w14:paraId="2C955988" w14:textId="77777777" w:rsidTr="00CB7DAB">
              <w:tc>
                <w:tcPr>
                  <w:tcW w:w="1873" w:type="dxa"/>
                  <w:gridSpan w:val="2"/>
                </w:tcPr>
                <w:p w14:paraId="157B57F2" w14:textId="77777777" w:rsidR="001C00AA" w:rsidRPr="00F05731" w:rsidRDefault="001C00AA" w:rsidP="001C00AA">
                  <w:pPr>
                    <w:jc w:val="center"/>
                    <w:rPr>
                      <w:rFonts w:ascii="Cambria" w:hAnsi="Cambria"/>
                      <w:i/>
                      <w:iCs/>
                      <w:sz w:val="18"/>
                      <w:szCs w:val="18"/>
                      <w:highlight w:val="yellow"/>
                    </w:rPr>
                  </w:pPr>
                  <w:r w:rsidRPr="00F05731">
                    <w:rPr>
                      <w:rFonts w:ascii="Cambria" w:hAnsi="Cambria"/>
                      <w:i/>
                      <w:iCs/>
                      <w:sz w:val="18"/>
                      <w:szCs w:val="18"/>
                      <w:highlight w:val="yellow"/>
                    </w:rPr>
                    <w:t>Rangos UVT</w:t>
                  </w:r>
                </w:p>
              </w:tc>
              <w:tc>
                <w:tcPr>
                  <w:tcW w:w="992" w:type="dxa"/>
                  <w:vMerge w:val="restart"/>
                </w:tcPr>
                <w:p w14:paraId="37E993AA"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Tarifa Marginal</w:t>
                  </w:r>
                </w:p>
              </w:tc>
              <w:tc>
                <w:tcPr>
                  <w:tcW w:w="1134" w:type="dxa"/>
                  <w:vMerge w:val="restart"/>
                </w:tcPr>
                <w:p w14:paraId="16D2B5CE"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Impuesto</w:t>
                  </w:r>
                </w:p>
              </w:tc>
            </w:tr>
            <w:tr w:rsidR="001C00AA" w:rsidRPr="00F05731" w14:paraId="3650874D" w14:textId="77777777" w:rsidTr="00CB7DAB">
              <w:tc>
                <w:tcPr>
                  <w:tcW w:w="924" w:type="dxa"/>
                </w:tcPr>
                <w:p w14:paraId="78988AFF"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 xml:space="preserve">Desde </w:t>
                  </w:r>
                </w:p>
              </w:tc>
              <w:tc>
                <w:tcPr>
                  <w:tcW w:w="949" w:type="dxa"/>
                </w:tcPr>
                <w:p w14:paraId="0F195B9D"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Hasta</w:t>
                  </w:r>
                </w:p>
              </w:tc>
              <w:tc>
                <w:tcPr>
                  <w:tcW w:w="992" w:type="dxa"/>
                  <w:vMerge/>
                </w:tcPr>
                <w:p w14:paraId="5ADC5CFE" w14:textId="77777777" w:rsidR="001C00AA" w:rsidRPr="00F05731" w:rsidRDefault="001C00AA" w:rsidP="001C00AA">
                  <w:pPr>
                    <w:jc w:val="both"/>
                    <w:rPr>
                      <w:rFonts w:ascii="Cambria" w:hAnsi="Cambria"/>
                      <w:i/>
                      <w:iCs/>
                      <w:sz w:val="18"/>
                      <w:szCs w:val="18"/>
                      <w:highlight w:val="yellow"/>
                    </w:rPr>
                  </w:pPr>
                </w:p>
              </w:tc>
              <w:tc>
                <w:tcPr>
                  <w:tcW w:w="1134" w:type="dxa"/>
                  <w:vMerge/>
                </w:tcPr>
                <w:p w14:paraId="52E856A3" w14:textId="77777777" w:rsidR="001C00AA" w:rsidRPr="00F05731" w:rsidRDefault="001C00AA" w:rsidP="001C00AA">
                  <w:pPr>
                    <w:jc w:val="both"/>
                    <w:rPr>
                      <w:rFonts w:ascii="Cambria" w:hAnsi="Cambria"/>
                      <w:i/>
                      <w:iCs/>
                      <w:sz w:val="18"/>
                      <w:szCs w:val="18"/>
                      <w:highlight w:val="yellow"/>
                    </w:rPr>
                  </w:pPr>
                </w:p>
              </w:tc>
            </w:tr>
            <w:tr w:rsidR="001C00AA" w:rsidRPr="00F05731" w14:paraId="411D4229" w14:textId="77777777" w:rsidTr="00CB7DAB">
              <w:tc>
                <w:tcPr>
                  <w:tcW w:w="924" w:type="dxa"/>
                </w:tcPr>
                <w:p w14:paraId="4A6377E1" w14:textId="77777777" w:rsidR="001C00AA" w:rsidRPr="00F05731" w:rsidRDefault="001C00AA" w:rsidP="001C00AA">
                  <w:pPr>
                    <w:jc w:val="both"/>
                    <w:rPr>
                      <w:rFonts w:ascii="Cambria" w:hAnsi="Cambria"/>
                      <w:i/>
                      <w:iCs/>
                      <w:sz w:val="18"/>
                      <w:szCs w:val="18"/>
                      <w:highlight w:val="yellow"/>
                      <w:lang w:val="en-US"/>
                    </w:rPr>
                  </w:pPr>
                  <w:r w:rsidRPr="00F05731">
                    <w:rPr>
                      <w:rFonts w:ascii="Cambria" w:hAnsi="Cambria"/>
                      <w:i/>
                      <w:iCs/>
                      <w:sz w:val="18"/>
                      <w:szCs w:val="18"/>
                      <w:highlight w:val="yellow"/>
                      <w:lang w:val="en-US"/>
                    </w:rPr>
                    <w:t>&gt;0</w:t>
                  </w:r>
                </w:p>
              </w:tc>
              <w:tc>
                <w:tcPr>
                  <w:tcW w:w="949" w:type="dxa"/>
                </w:tcPr>
                <w:p w14:paraId="64FAC395"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72.000</w:t>
                  </w:r>
                </w:p>
              </w:tc>
              <w:tc>
                <w:tcPr>
                  <w:tcW w:w="992" w:type="dxa"/>
                </w:tcPr>
                <w:p w14:paraId="032E2AF6"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0,0%</w:t>
                  </w:r>
                </w:p>
              </w:tc>
              <w:tc>
                <w:tcPr>
                  <w:tcW w:w="1134" w:type="dxa"/>
                </w:tcPr>
                <w:p w14:paraId="1D32CE33"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w:t>
                  </w:r>
                </w:p>
              </w:tc>
            </w:tr>
            <w:tr w:rsidR="001C00AA" w:rsidRPr="00F05731" w14:paraId="17027C2C" w14:textId="77777777" w:rsidTr="00CB7DAB">
              <w:tc>
                <w:tcPr>
                  <w:tcW w:w="924" w:type="dxa"/>
                </w:tcPr>
                <w:p w14:paraId="1A800241"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&gt;72.000</w:t>
                  </w:r>
                </w:p>
              </w:tc>
              <w:tc>
                <w:tcPr>
                  <w:tcW w:w="949" w:type="dxa"/>
                </w:tcPr>
                <w:p w14:paraId="3BE3258B"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122.000</w:t>
                  </w:r>
                </w:p>
              </w:tc>
              <w:tc>
                <w:tcPr>
                  <w:tcW w:w="992" w:type="dxa"/>
                </w:tcPr>
                <w:p w14:paraId="14242C9A"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0,5%</w:t>
                  </w:r>
                </w:p>
              </w:tc>
              <w:tc>
                <w:tcPr>
                  <w:tcW w:w="1134" w:type="dxa"/>
                </w:tcPr>
                <w:p w14:paraId="4ACFC106"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w:t>
                  </w:r>
                </w:p>
                <w:p w14:paraId="1F2CDC0C" w14:textId="77777777"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72.000 UVT) x 0,5% </w:t>
                  </w:r>
                </w:p>
              </w:tc>
            </w:tr>
            <w:tr w:rsidR="001C00AA" w:rsidRPr="001C00AA" w14:paraId="408711D1" w14:textId="77777777" w:rsidTr="00CB7DAB">
              <w:tc>
                <w:tcPr>
                  <w:tcW w:w="924" w:type="dxa"/>
                </w:tcPr>
                <w:p w14:paraId="55626638"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&gt;122.000</w:t>
                  </w:r>
                </w:p>
              </w:tc>
              <w:tc>
                <w:tcPr>
                  <w:tcW w:w="949" w:type="dxa"/>
                </w:tcPr>
                <w:p w14:paraId="3AF86210"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239.000</w:t>
                  </w:r>
                </w:p>
              </w:tc>
              <w:tc>
                <w:tcPr>
                  <w:tcW w:w="992" w:type="dxa"/>
                </w:tcPr>
                <w:p w14:paraId="65D6D2FB"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1,0%</w:t>
                  </w:r>
                </w:p>
              </w:tc>
              <w:tc>
                <w:tcPr>
                  <w:tcW w:w="1134" w:type="dxa"/>
                </w:tcPr>
                <w:p w14:paraId="7D68D8D9"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w:t>
                  </w:r>
                </w:p>
                <w:p w14:paraId="3A53EBBA" w14:textId="77777777" w:rsidR="001C00AA" w:rsidRPr="001C00AA" w:rsidRDefault="001C00AA" w:rsidP="001C00AA">
                  <w:pPr>
                    <w:jc w:val="both"/>
                    <w:rPr>
                      <w:rFonts w:ascii="Cambria" w:hAnsi="Cambria"/>
                      <w:i/>
                      <w:iCs/>
                      <w:sz w:val="18"/>
                      <w:szCs w:val="18"/>
                    </w:rPr>
                  </w:pPr>
                  <w:r w:rsidRPr="00F05731">
                    <w:rPr>
                      <w:rFonts w:ascii="Cambria" w:hAnsi="Cambria" w:cs="Arial"/>
                      <w:i/>
                      <w:iCs/>
                      <w:sz w:val="18"/>
                      <w:szCs w:val="18"/>
                      <w:highlight w:val="yellow"/>
                    </w:rPr>
                    <w:t>122.000 UVT) x 1,0% + 250 UVT</w:t>
                  </w:r>
                  <w:r w:rsidRPr="001C00AA">
                    <w:rPr>
                      <w:rFonts w:ascii="Cambria" w:hAnsi="Cambria" w:cs="Arial"/>
                      <w:i/>
                      <w:iCs/>
                      <w:sz w:val="18"/>
                      <w:szCs w:val="18"/>
                    </w:rPr>
                    <w:t> </w:t>
                  </w:r>
                </w:p>
              </w:tc>
            </w:tr>
          </w:tbl>
          <w:p w14:paraId="18C35133" w14:textId="77777777" w:rsidR="001C00AA" w:rsidRPr="001C00AA" w:rsidRDefault="001C00AA" w:rsidP="001C00AA">
            <w:pPr>
              <w:rPr>
                <w:i/>
                <w:iCs/>
                <w:sz w:val="18"/>
                <w:szCs w:val="18"/>
              </w:rPr>
            </w:pPr>
          </w:p>
          <w:p w14:paraId="00F12837" w14:textId="77777777" w:rsidR="001C00AA" w:rsidRPr="001C00AA" w:rsidRDefault="001C00AA" w:rsidP="001C00AA">
            <w:pPr>
              <w:rPr>
                <w:i/>
                <w:iCs/>
                <w:color w:val="0070C0"/>
                <w:sz w:val="18"/>
                <w:szCs w:val="18"/>
              </w:rPr>
            </w:pPr>
          </w:p>
        </w:tc>
        <w:tc>
          <w:tcPr>
            <w:tcW w:w="4414" w:type="dxa"/>
          </w:tcPr>
          <w:p w14:paraId="57616445" w14:textId="60099D5B" w:rsidR="001C00AA" w:rsidRPr="001C00AA" w:rsidRDefault="001C00AA" w:rsidP="001C00AA">
            <w:pPr>
              <w:jc w:val="both"/>
              <w:rPr>
                <w:rFonts w:ascii="Cambria" w:hAnsi="Cambria"/>
                <w:i/>
                <w:iCs/>
                <w:sz w:val="18"/>
                <w:szCs w:val="18"/>
              </w:rPr>
            </w:pPr>
            <w:r w:rsidRPr="001C00AA">
              <w:rPr>
                <w:rFonts w:ascii="Cambria" w:hAnsi="Cambria"/>
                <w:b/>
                <w:bCs/>
                <w:i/>
                <w:iCs/>
                <w:sz w:val="18"/>
                <w:szCs w:val="18"/>
              </w:rPr>
              <w:lastRenderedPageBreak/>
              <w:t xml:space="preserve">Artículo 296-3. Tarifa </w:t>
            </w:r>
            <w:r w:rsidRPr="001C00AA">
              <w:rPr>
                <w:b/>
                <w:bCs/>
                <w:i/>
                <w:iCs/>
                <w:color w:val="FF0000"/>
                <w:sz w:val="18"/>
                <w:szCs w:val="18"/>
                <w:lang w:val="es-ES"/>
              </w:rPr>
              <w:t xml:space="preserve">(versión con que quedaría de acuerdo con el artículo </w:t>
            </w:r>
            <w:r>
              <w:rPr>
                <w:b/>
                <w:bCs/>
                <w:i/>
                <w:iCs/>
                <w:color w:val="FF0000"/>
                <w:sz w:val="18"/>
                <w:szCs w:val="18"/>
                <w:lang w:val="es-ES"/>
              </w:rPr>
              <w:t>19</w:t>
            </w:r>
            <w:r w:rsidRPr="001C00AA">
              <w:rPr>
                <w:b/>
                <w:bCs/>
                <w:i/>
                <w:iCs/>
                <w:color w:val="FF0000"/>
                <w:sz w:val="18"/>
                <w:szCs w:val="18"/>
                <w:lang w:val="es-ES"/>
              </w:rPr>
              <w:t xml:space="preserve"> del proyecto de Ley</w:t>
            </w:r>
            <w:r>
              <w:rPr>
                <w:b/>
                <w:bCs/>
                <w:i/>
                <w:iCs/>
                <w:color w:val="FF0000"/>
                <w:sz w:val="18"/>
                <w:szCs w:val="18"/>
                <w:lang w:val="es-ES"/>
              </w:rPr>
              <w:t>)</w:t>
            </w:r>
            <w:r w:rsidRPr="001C00AA">
              <w:rPr>
                <w:rFonts w:ascii="Cambria" w:hAnsi="Cambria"/>
                <w:i/>
                <w:iCs/>
                <w:sz w:val="18"/>
                <w:szCs w:val="18"/>
              </w:rPr>
              <w:t xml:space="preserve"> </w:t>
            </w:r>
            <w:r w:rsidRPr="001C00AA">
              <w:rPr>
                <w:rFonts w:ascii="Cambria" w:hAnsi="Cambria"/>
                <w:i/>
                <w:iCs/>
                <w:sz w:val="18"/>
                <w:szCs w:val="18"/>
              </w:rPr>
              <w:t>El impuesto al patrimonio se determinará de acuerdo con la siguiente tabla: </w:t>
            </w:r>
          </w:p>
          <w:p w14:paraId="4E5085BB" w14:textId="77777777" w:rsidR="001C00AA" w:rsidRPr="001C00AA" w:rsidRDefault="001C00AA" w:rsidP="001C00AA">
            <w:pPr>
              <w:jc w:val="both"/>
              <w:rPr>
                <w:rFonts w:ascii="Cambria" w:hAnsi="Cambria"/>
                <w:i/>
                <w:iCs/>
                <w:sz w:val="18"/>
                <w:szCs w:val="18"/>
              </w:rPr>
            </w:pPr>
          </w:p>
          <w:p w14:paraId="02272889" w14:textId="77777777" w:rsidR="001C00AA" w:rsidRPr="001C00AA" w:rsidRDefault="001C00AA" w:rsidP="001C00AA">
            <w:pPr>
              <w:jc w:val="both"/>
              <w:rPr>
                <w:rFonts w:ascii="Cambria" w:hAnsi="Cambria"/>
                <w:i/>
                <w:iCs/>
                <w:sz w:val="18"/>
                <w:szCs w:val="18"/>
              </w:rPr>
            </w:pPr>
          </w:p>
          <w:tbl>
            <w:tblPr>
              <w:tblStyle w:val="Tablaconcuadrcula"/>
              <w:tblW w:w="0" w:type="auto"/>
              <w:tblInd w:w="325" w:type="dxa"/>
              <w:tblLook w:val="04A0" w:firstRow="1" w:lastRow="0" w:firstColumn="1" w:lastColumn="0" w:noHBand="0" w:noVBand="1"/>
            </w:tblPr>
            <w:tblGrid>
              <w:gridCol w:w="954"/>
              <w:gridCol w:w="954"/>
              <w:gridCol w:w="937"/>
              <w:gridCol w:w="1018"/>
            </w:tblGrid>
            <w:tr w:rsidR="001C00AA" w:rsidRPr="00F05731" w14:paraId="5D08B80D" w14:textId="77777777" w:rsidTr="00CB7DAB">
              <w:tc>
                <w:tcPr>
                  <w:tcW w:w="1873" w:type="dxa"/>
                  <w:gridSpan w:val="2"/>
                </w:tcPr>
                <w:p w14:paraId="334ABBD4" w14:textId="77777777" w:rsidR="001C00AA" w:rsidRPr="00F05731" w:rsidRDefault="001C00AA" w:rsidP="001C00AA">
                  <w:pPr>
                    <w:jc w:val="center"/>
                    <w:rPr>
                      <w:rFonts w:ascii="Cambria" w:hAnsi="Cambria"/>
                      <w:i/>
                      <w:iCs/>
                      <w:sz w:val="18"/>
                      <w:szCs w:val="18"/>
                      <w:highlight w:val="yellow"/>
                    </w:rPr>
                  </w:pPr>
                  <w:r w:rsidRPr="00F05731">
                    <w:rPr>
                      <w:rFonts w:ascii="Cambria" w:hAnsi="Cambria"/>
                      <w:i/>
                      <w:iCs/>
                      <w:sz w:val="18"/>
                      <w:szCs w:val="18"/>
                      <w:highlight w:val="yellow"/>
                    </w:rPr>
                    <w:t>Rangos UVT</w:t>
                  </w:r>
                </w:p>
              </w:tc>
              <w:tc>
                <w:tcPr>
                  <w:tcW w:w="992" w:type="dxa"/>
                  <w:vMerge w:val="restart"/>
                </w:tcPr>
                <w:p w14:paraId="5514865D"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Tarifa Marginal</w:t>
                  </w:r>
                </w:p>
              </w:tc>
              <w:tc>
                <w:tcPr>
                  <w:tcW w:w="1134" w:type="dxa"/>
                  <w:vMerge w:val="restart"/>
                </w:tcPr>
                <w:p w14:paraId="0F73802B"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Impuesto</w:t>
                  </w:r>
                </w:p>
              </w:tc>
            </w:tr>
            <w:tr w:rsidR="001C00AA" w:rsidRPr="00F05731" w14:paraId="74A9487A" w14:textId="77777777" w:rsidTr="00CB7DAB">
              <w:tc>
                <w:tcPr>
                  <w:tcW w:w="924" w:type="dxa"/>
                </w:tcPr>
                <w:p w14:paraId="3289C109" w14:textId="77777777" w:rsidR="001C00AA" w:rsidRPr="001C00AA" w:rsidRDefault="001C00AA" w:rsidP="001C00AA">
                  <w:pPr>
                    <w:jc w:val="both"/>
                    <w:rPr>
                      <w:rFonts w:ascii="Cambria" w:hAnsi="Cambria"/>
                      <w:i/>
                      <w:iCs/>
                      <w:sz w:val="18"/>
                      <w:szCs w:val="18"/>
                    </w:rPr>
                  </w:pPr>
                  <w:r w:rsidRPr="001C00AA">
                    <w:rPr>
                      <w:rFonts w:ascii="Cambria" w:hAnsi="Cambria"/>
                      <w:i/>
                      <w:iCs/>
                      <w:sz w:val="18"/>
                      <w:szCs w:val="18"/>
                    </w:rPr>
                    <w:t xml:space="preserve">Desde </w:t>
                  </w:r>
                </w:p>
              </w:tc>
              <w:tc>
                <w:tcPr>
                  <w:tcW w:w="949" w:type="dxa"/>
                </w:tcPr>
                <w:p w14:paraId="69BF48D7"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Hasta</w:t>
                  </w:r>
                </w:p>
              </w:tc>
              <w:tc>
                <w:tcPr>
                  <w:tcW w:w="992" w:type="dxa"/>
                  <w:vMerge/>
                </w:tcPr>
                <w:p w14:paraId="6A5A4063" w14:textId="77777777" w:rsidR="001C00AA" w:rsidRPr="00F05731" w:rsidRDefault="001C00AA" w:rsidP="001C00AA">
                  <w:pPr>
                    <w:jc w:val="both"/>
                    <w:rPr>
                      <w:rFonts w:ascii="Cambria" w:hAnsi="Cambria"/>
                      <w:i/>
                      <w:iCs/>
                      <w:sz w:val="18"/>
                      <w:szCs w:val="18"/>
                      <w:highlight w:val="yellow"/>
                    </w:rPr>
                  </w:pPr>
                </w:p>
              </w:tc>
              <w:tc>
                <w:tcPr>
                  <w:tcW w:w="1134" w:type="dxa"/>
                  <w:vMerge/>
                </w:tcPr>
                <w:p w14:paraId="2364FF77" w14:textId="77777777" w:rsidR="001C00AA" w:rsidRPr="00F05731" w:rsidRDefault="001C00AA" w:rsidP="001C00AA">
                  <w:pPr>
                    <w:jc w:val="both"/>
                    <w:rPr>
                      <w:rFonts w:ascii="Cambria" w:hAnsi="Cambria"/>
                      <w:i/>
                      <w:iCs/>
                      <w:sz w:val="18"/>
                      <w:szCs w:val="18"/>
                      <w:highlight w:val="yellow"/>
                    </w:rPr>
                  </w:pPr>
                </w:p>
              </w:tc>
            </w:tr>
            <w:tr w:rsidR="001C00AA" w:rsidRPr="00F05731" w14:paraId="5D7CB3A5" w14:textId="77777777" w:rsidTr="00CB7DAB">
              <w:tc>
                <w:tcPr>
                  <w:tcW w:w="924" w:type="dxa"/>
                </w:tcPr>
                <w:p w14:paraId="1D4E5EC4" w14:textId="77777777" w:rsidR="001C00AA" w:rsidRPr="001C00AA" w:rsidRDefault="001C00AA" w:rsidP="001C00AA">
                  <w:pPr>
                    <w:jc w:val="both"/>
                    <w:rPr>
                      <w:rFonts w:ascii="Cambria" w:hAnsi="Cambria"/>
                      <w:i/>
                      <w:iCs/>
                      <w:sz w:val="18"/>
                      <w:szCs w:val="18"/>
                      <w:lang w:val="en-US"/>
                    </w:rPr>
                  </w:pPr>
                  <w:r w:rsidRPr="001C00AA">
                    <w:rPr>
                      <w:rFonts w:ascii="Cambria" w:hAnsi="Cambria"/>
                      <w:i/>
                      <w:iCs/>
                      <w:sz w:val="18"/>
                      <w:szCs w:val="18"/>
                      <w:lang w:val="en-US"/>
                    </w:rPr>
                    <w:t>&gt;0</w:t>
                  </w:r>
                </w:p>
              </w:tc>
              <w:tc>
                <w:tcPr>
                  <w:tcW w:w="949" w:type="dxa"/>
                </w:tcPr>
                <w:p w14:paraId="62965500" w14:textId="5E698FF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40</w:t>
                  </w:r>
                  <w:r w:rsidRPr="00F05731">
                    <w:rPr>
                      <w:rFonts w:ascii="Cambria" w:hAnsi="Cambria"/>
                      <w:i/>
                      <w:iCs/>
                      <w:sz w:val="18"/>
                      <w:szCs w:val="18"/>
                      <w:highlight w:val="yellow"/>
                    </w:rPr>
                    <w:t>.000</w:t>
                  </w:r>
                </w:p>
              </w:tc>
              <w:tc>
                <w:tcPr>
                  <w:tcW w:w="992" w:type="dxa"/>
                </w:tcPr>
                <w:p w14:paraId="3C47CC00"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0,0%</w:t>
                  </w:r>
                </w:p>
              </w:tc>
              <w:tc>
                <w:tcPr>
                  <w:tcW w:w="1134" w:type="dxa"/>
                </w:tcPr>
                <w:p w14:paraId="2969DE2A"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w:t>
                  </w:r>
                </w:p>
              </w:tc>
            </w:tr>
            <w:tr w:rsidR="001C00AA" w:rsidRPr="00F05731" w14:paraId="25A53D58" w14:textId="77777777" w:rsidTr="00CB7DAB">
              <w:tc>
                <w:tcPr>
                  <w:tcW w:w="924" w:type="dxa"/>
                </w:tcPr>
                <w:p w14:paraId="1404983C" w14:textId="3DF1B5A5" w:rsidR="001C00AA" w:rsidRPr="001C00AA" w:rsidRDefault="001C00AA" w:rsidP="001C00AA">
                  <w:pPr>
                    <w:jc w:val="both"/>
                    <w:rPr>
                      <w:rFonts w:ascii="Cambria" w:hAnsi="Cambria"/>
                      <w:i/>
                      <w:iCs/>
                      <w:sz w:val="18"/>
                      <w:szCs w:val="18"/>
                    </w:rPr>
                  </w:pPr>
                  <w:r w:rsidRPr="001C00AA">
                    <w:rPr>
                      <w:rFonts w:ascii="Cambria" w:hAnsi="Cambria"/>
                      <w:i/>
                      <w:iCs/>
                      <w:sz w:val="18"/>
                      <w:szCs w:val="18"/>
                    </w:rPr>
                    <w:t>&gt;</w:t>
                  </w:r>
                  <w:r>
                    <w:rPr>
                      <w:rFonts w:ascii="Cambria" w:hAnsi="Cambria"/>
                      <w:i/>
                      <w:iCs/>
                      <w:sz w:val="18"/>
                      <w:szCs w:val="18"/>
                    </w:rPr>
                    <w:t>40</w:t>
                  </w:r>
                  <w:r w:rsidRPr="001C00AA">
                    <w:rPr>
                      <w:rFonts w:ascii="Cambria" w:hAnsi="Cambria"/>
                      <w:i/>
                      <w:iCs/>
                      <w:sz w:val="18"/>
                      <w:szCs w:val="18"/>
                    </w:rPr>
                    <w:t>.000</w:t>
                  </w:r>
                </w:p>
              </w:tc>
              <w:tc>
                <w:tcPr>
                  <w:tcW w:w="949" w:type="dxa"/>
                </w:tcPr>
                <w:p w14:paraId="0F5100BA" w14:textId="0FFAB9D8"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70</w:t>
                  </w:r>
                  <w:r w:rsidRPr="00F05731">
                    <w:rPr>
                      <w:rFonts w:ascii="Cambria" w:hAnsi="Cambria"/>
                      <w:i/>
                      <w:iCs/>
                      <w:sz w:val="18"/>
                      <w:szCs w:val="18"/>
                      <w:highlight w:val="yellow"/>
                    </w:rPr>
                    <w:t>.000</w:t>
                  </w:r>
                </w:p>
              </w:tc>
              <w:tc>
                <w:tcPr>
                  <w:tcW w:w="992" w:type="dxa"/>
                </w:tcPr>
                <w:p w14:paraId="3195ABA0"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0,5%</w:t>
                  </w:r>
                </w:p>
              </w:tc>
              <w:tc>
                <w:tcPr>
                  <w:tcW w:w="1134" w:type="dxa"/>
                </w:tcPr>
                <w:p w14:paraId="55E5DA9C"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w:t>
                  </w:r>
                </w:p>
                <w:p w14:paraId="6E00896E" w14:textId="2EFADE88"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40</w:t>
                  </w:r>
                  <w:r w:rsidRPr="00F05731">
                    <w:rPr>
                      <w:rFonts w:ascii="Cambria" w:hAnsi="Cambria" w:cs="Arial"/>
                      <w:i/>
                      <w:iCs/>
                      <w:sz w:val="18"/>
                      <w:szCs w:val="18"/>
                      <w:highlight w:val="yellow"/>
                    </w:rPr>
                    <w:t>.000 UVT) x 0,5% </w:t>
                  </w:r>
                </w:p>
              </w:tc>
            </w:tr>
            <w:tr w:rsidR="001C00AA" w:rsidRPr="00F05731" w14:paraId="6B983D78" w14:textId="77777777" w:rsidTr="00CB7DAB">
              <w:tc>
                <w:tcPr>
                  <w:tcW w:w="924" w:type="dxa"/>
                </w:tcPr>
                <w:p w14:paraId="4F2F2086" w14:textId="55EF3742" w:rsidR="001C00AA" w:rsidRPr="001C00AA" w:rsidRDefault="001C00AA" w:rsidP="001C00AA">
                  <w:pPr>
                    <w:jc w:val="both"/>
                    <w:rPr>
                      <w:rFonts w:ascii="Cambria" w:hAnsi="Cambria"/>
                      <w:i/>
                      <w:iCs/>
                      <w:sz w:val="18"/>
                      <w:szCs w:val="18"/>
                    </w:rPr>
                  </w:pPr>
                  <w:r w:rsidRPr="001C00AA">
                    <w:rPr>
                      <w:rFonts w:ascii="Cambria" w:hAnsi="Cambria"/>
                      <w:i/>
                      <w:iCs/>
                      <w:sz w:val="18"/>
                      <w:szCs w:val="18"/>
                    </w:rPr>
                    <w:t>&gt;</w:t>
                  </w:r>
                  <w:r>
                    <w:rPr>
                      <w:rFonts w:ascii="Cambria" w:hAnsi="Cambria"/>
                      <w:i/>
                      <w:iCs/>
                      <w:sz w:val="18"/>
                      <w:szCs w:val="18"/>
                    </w:rPr>
                    <w:t>70</w:t>
                  </w:r>
                  <w:r w:rsidRPr="001C00AA">
                    <w:rPr>
                      <w:rFonts w:ascii="Cambria" w:hAnsi="Cambria"/>
                      <w:i/>
                      <w:iCs/>
                      <w:sz w:val="18"/>
                      <w:szCs w:val="18"/>
                    </w:rPr>
                    <w:t>.000</w:t>
                  </w:r>
                </w:p>
              </w:tc>
              <w:tc>
                <w:tcPr>
                  <w:tcW w:w="949" w:type="dxa"/>
                </w:tcPr>
                <w:p w14:paraId="5DFFA06D" w14:textId="15515DE8"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120</w:t>
                  </w:r>
                  <w:r w:rsidRPr="00F05731">
                    <w:rPr>
                      <w:rFonts w:ascii="Cambria" w:hAnsi="Cambria"/>
                      <w:i/>
                      <w:iCs/>
                      <w:sz w:val="18"/>
                      <w:szCs w:val="18"/>
                      <w:highlight w:val="yellow"/>
                    </w:rPr>
                    <w:t>.000</w:t>
                  </w:r>
                </w:p>
              </w:tc>
              <w:tc>
                <w:tcPr>
                  <w:tcW w:w="992" w:type="dxa"/>
                </w:tcPr>
                <w:p w14:paraId="32BA5715" w14:textId="77777777"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1,0%</w:t>
                  </w:r>
                </w:p>
              </w:tc>
              <w:tc>
                <w:tcPr>
                  <w:tcW w:w="1134" w:type="dxa"/>
                </w:tcPr>
                <w:p w14:paraId="31AB802B" w14:textId="7777777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(Base Gravable en UVT menos </w:t>
                  </w:r>
                </w:p>
                <w:p w14:paraId="1B60CCA9" w14:textId="5D9CEF5E"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70</w:t>
                  </w:r>
                  <w:r w:rsidRPr="00F05731">
                    <w:rPr>
                      <w:rFonts w:ascii="Cambria" w:hAnsi="Cambria" w:cs="Arial"/>
                      <w:i/>
                      <w:iCs/>
                      <w:sz w:val="18"/>
                      <w:szCs w:val="18"/>
                      <w:highlight w:val="yellow"/>
                    </w:rPr>
                    <w:t xml:space="preserve">.000 UVT) x 1,0% + </w:t>
                  </w:r>
                  <w:r w:rsidRPr="00F05731">
                    <w:rPr>
                      <w:rFonts w:ascii="Cambria" w:hAnsi="Cambria" w:cs="Arial"/>
                      <w:i/>
                      <w:iCs/>
                      <w:sz w:val="18"/>
                      <w:szCs w:val="18"/>
                      <w:highlight w:val="yellow"/>
                    </w:rPr>
                    <w:t>150</w:t>
                  </w:r>
                  <w:r w:rsidRPr="00F05731">
                    <w:rPr>
                      <w:rFonts w:ascii="Cambria" w:hAnsi="Cambria" w:cs="Arial"/>
                      <w:i/>
                      <w:iCs/>
                      <w:sz w:val="18"/>
                      <w:szCs w:val="18"/>
                      <w:highlight w:val="yellow"/>
                    </w:rPr>
                    <w:t xml:space="preserve"> UVT </w:t>
                  </w:r>
                </w:p>
              </w:tc>
            </w:tr>
            <w:tr w:rsidR="001C00AA" w:rsidRPr="00F05731" w14:paraId="5045EE3A" w14:textId="77777777" w:rsidTr="00CB7DAB">
              <w:tc>
                <w:tcPr>
                  <w:tcW w:w="924" w:type="dxa"/>
                </w:tcPr>
                <w:p w14:paraId="4A7B08C6" w14:textId="4AB815A9" w:rsidR="001C00AA" w:rsidRPr="001C00AA" w:rsidRDefault="001C00AA" w:rsidP="001C00AA">
                  <w:pPr>
                    <w:jc w:val="both"/>
                    <w:rPr>
                      <w:rFonts w:ascii="Cambria" w:hAnsi="Cambria"/>
                      <w:i/>
                      <w:iCs/>
                      <w:sz w:val="18"/>
                      <w:szCs w:val="18"/>
                    </w:rPr>
                  </w:pPr>
                  <w:r w:rsidRPr="001C00AA">
                    <w:rPr>
                      <w:rFonts w:ascii="Cambria" w:hAnsi="Cambria"/>
                      <w:i/>
                      <w:iCs/>
                      <w:sz w:val="18"/>
                      <w:szCs w:val="18"/>
                    </w:rPr>
                    <w:t>&gt;</w:t>
                  </w:r>
                  <w:r>
                    <w:rPr>
                      <w:rFonts w:ascii="Cambria" w:hAnsi="Cambria"/>
                      <w:i/>
                      <w:iCs/>
                      <w:sz w:val="18"/>
                      <w:szCs w:val="18"/>
                    </w:rPr>
                    <w:t>120</w:t>
                  </w:r>
                  <w:r w:rsidRPr="001C00AA">
                    <w:rPr>
                      <w:rFonts w:ascii="Cambria" w:hAnsi="Cambria"/>
                      <w:i/>
                      <w:iCs/>
                      <w:sz w:val="18"/>
                      <w:szCs w:val="18"/>
                    </w:rPr>
                    <w:t>.000</w:t>
                  </w:r>
                </w:p>
              </w:tc>
              <w:tc>
                <w:tcPr>
                  <w:tcW w:w="949" w:type="dxa"/>
                </w:tcPr>
                <w:p w14:paraId="6D0C6839" w14:textId="24B21BBB"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240.000</w:t>
                  </w:r>
                </w:p>
              </w:tc>
              <w:tc>
                <w:tcPr>
                  <w:tcW w:w="992" w:type="dxa"/>
                </w:tcPr>
                <w:p w14:paraId="100739D0" w14:textId="1143129C"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2,0</w:t>
                  </w:r>
                  <w:r w:rsidRPr="00F05731">
                    <w:rPr>
                      <w:rFonts w:ascii="Cambria" w:hAnsi="Cambria"/>
                      <w:i/>
                      <w:iCs/>
                      <w:sz w:val="18"/>
                      <w:szCs w:val="18"/>
                      <w:highlight w:val="yellow"/>
                    </w:rPr>
                    <w:t>%</w:t>
                  </w:r>
                </w:p>
              </w:tc>
              <w:tc>
                <w:tcPr>
                  <w:tcW w:w="1134" w:type="dxa"/>
                </w:tcPr>
                <w:p w14:paraId="004191A5" w14:textId="2B6E4D04"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 xml:space="preserve">(Base Gravable en UVT menos </w:t>
                  </w:r>
                  <w:r w:rsidRPr="00F05731">
                    <w:rPr>
                      <w:rFonts w:ascii="Cambria" w:hAnsi="Cambria" w:cs="Arial"/>
                      <w:i/>
                      <w:iCs/>
                      <w:sz w:val="18"/>
                      <w:szCs w:val="18"/>
                      <w:highlight w:val="yellow"/>
                    </w:rPr>
                    <w:t>120</w:t>
                  </w:r>
                  <w:r w:rsidRPr="00F05731">
                    <w:rPr>
                      <w:rFonts w:ascii="Cambria" w:hAnsi="Cambria" w:cs="Arial"/>
                      <w:i/>
                      <w:iCs/>
                      <w:sz w:val="18"/>
                      <w:szCs w:val="18"/>
                      <w:highlight w:val="yellow"/>
                    </w:rPr>
                    <w:t xml:space="preserve">.000 UVT) x </w:t>
                  </w:r>
                  <w:r w:rsidRPr="00F05731">
                    <w:rPr>
                      <w:rFonts w:ascii="Cambria" w:hAnsi="Cambria" w:cs="Arial"/>
                      <w:i/>
                      <w:iCs/>
                      <w:sz w:val="18"/>
                      <w:szCs w:val="18"/>
                      <w:highlight w:val="yellow"/>
                    </w:rPr>
                    <w:t>2</w:t>
                  </w:r>
                  <w:r w:rsidRPr="00F05731">
                    <w:rPr>
                      <w:rFonts w:ascii="Cambria" w:hAnsi="Cambria" w:cs="Arial"/>
                      <w:i/>
                      <w:iCs/>
                      <w:sz w:val="18"/>
                      <w:szCs w:val="18"/>
                      <w:highlight w:val="yellow"/>
                    </w:rPr>
                    <w:t>,</w:t>
                  </w:r>
                  <w:r w:rsidRPr="00F05731">
                    <w:rPr>
                      <w:rFonts w:ascii="Cambria" w:hAnsi="Cambria" w:cs="Arial"/>
                      <w:i/>
                      <w:iCs/>
                      <w:sz w:val="18"/>
                      <w:szCs w:val="18"/>
                      <w:highlight w:val="yellow"/>
                    </w:rPr>
                    <w:t>0</w:t>
                  </w:r>
                  <w:r w:rsidRPr="00F05731">
                    <w:rPr>
                      <w:rFonts w:ascii="Cambria" w:hAnsi="Cambria" w:cs="Arial"/>
                      <w:i/>
                      <w:iCs/>
                      <w:sz w:val="18"/>
                      <w:szCs w:val="18"/>
                      <w:highlight w:val="yellow"/>
                    </w:rPr>
                    <w:t xml:space="preserve">% + </w:t>
                  </w:r>
                  <w:r w:rsidRPr="00F05731">
                    <w:rPr>
                      <w:rFonts w:ascii="Cambria" w:hAnsi="Cambria" w:cs="Arial"/>
                      <w:i/>
                      <w:iCs/>
                      <w:sz w:val="18"/>
                      <w:szCs w:val="18"/>
                      <w:highlight w:val="yellow"/>
                    </w:rPr>
                    <w:t>650</w:t>
                  </w:r>
                  <w:r w:rsidRPr="00F05731">
                    <w:rPr>
                      <w:rFonts w:ascii="Cambria" w:hAnsi="Cambria" w:cs="Arial"/>
                      <w:i/>
                      <w:iCs/>
                      <w:sz w:val="18"/>
                      <w:szCs w:val="18"/>
                      <w:highlight w:val="yellow"/>
                    </w:rPr>
                    <w:t> </w:t>
                  </w:r>
                </w:p>
                <w:p w14:paraId="6E7D1971" w14:textId="77777777" w:rsidR="001C00AA" w:rsidRPr="00F05731" w:rsidRDefault="001C00AA" w:rsidP="001C00AA">
                  <w:pPr>
                    <w:jc w:val="both"/>
                    <w:rPr>
                      <w:rFonts w:ascii="Cambria" w:hAnsi="Cambria"/>
                      <w:i/>
                      <w:iCs/>
                      <w:sz w:val="18"/>
                      <w:szCs w:val="18"/>
                      <w:highlight w:val="yellow"/>
                    </w:rPr>
                  </w:pPr>
                  <w:r w:rsidRPr="00F05731">
                    <w:rPr>
                      <w:rFonts w:ascii="Cambria" w:hAnsi="Cambria" w:cs="Arial"/>
                      <w:i/>
                      <w:iCs/>
                      <w:sz w:val="18"/>
                      <w:szCs w:val="18"/>
                      <w:highlight w:val="yellow"/>
                    </w:rPr>
                    <w:t>UVT </w:t>
                  </w:r>
                </w:p>
              </w:tc>
            </w:tr>
            <w:tr w:rsidR="001C00AA" w:rsidRPr="00F05731" w14:paraId="1D0544E9" w14:textId="77777777" w:rsidTr="00CB7DAB">
              <w:tc>
                <w:tcPr>
                  <w:tcW w:w="924" w:type="dxa"/>
                </w:tcPr>
                <w:p w14:paraId="1F3D8766" w14:textId="3FD48EA2" w:rsidR="001C00AA" w:rsidRPr="001C00AA" w:rsidRDefault="001C00AA" w:rsidP="001C00AA">
                  <w:pPr>
                    <w:jc w:val="both"/>
                    <w:rPr>
                      <w:rFonts w:ascii="Cambria" w:hAnsi="Cambria"/>
                      <w:i/>
                      <w:iCs/>
                      <w:sz w:val="18"/>
                      <w:szCs w:val="18"/>
                    </w:rPr>
                  </w:pPr>
                  <w:r>
                    <w:rPr>
                      <w:rFonts w:ascii="Cambria" w:hAnsi="Cambria"/>
                      <w:i/>
                      <w:iCs/>
                      <w:sz w:val="18"/>
                      <w:szCs w:val="18"/>
                    </w:rPr>
                    <w:t>240.000</w:t>
                  </w:r>
                </w:p>
              </w:tc>
              <w:tc>
                <w:tcPr>
                  <w:tcW w:w="949" w:type="dxa"/>
                </w:tcPr>
                <w:p w14:paraId="168008E2" w14:textId="1415B040"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2.000.000</w:t>
                  </w:r>
                </w:p>
              </w:tc>
              <w:tc>
                <w:tcPr>
                  <w:tcW w:w="992" w:type="dxa"/>
                </w:tcPr>
                <w:p w14:paraId="48E17BC0" w14:textId="1FDE1F8B"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3,0%</w:t>
                  </w:r>
                </w:p>
              </w:tc>
              <w:tc>
                <w:tcPr>
                  <w:tcW w:w="1134" w:type="dxa"/>
                </w:tcPr>
                <w:p w14:paraId="098694A5" w14:textId="41D478FA"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 xml:space="preserve">(Base Gravable en UVT menos </w:t>
                  </w:r>
                  <w:r w:rsidRPr="00F05731">
                    <w:rPr>
                      <w:rFonts w:ascii="Cambria" w:hAnsi="Cambria" w:cs="Arial"/>
                      <w:i/>
                      <w:iCs/>
                      <w:sz w:val="18"/>
                      <w:szCs w:val="18"/>
                      <w:highlight w:val="yellow"/>
                    </w:rPr>
                    <w:t>240</w:t>
                  </w:r>
                  <w:r w:rsidRPr="00F05731">
                    <w:rPr>
                      <w:rFonts w:ascii="Cambria" w:hAnsi="Cambria" w:cs="Arial"/>
                      <w:i/>
                      <w:iCs/>
                      <w:sz w:val="18"/>
                      <w:szCs w:val="18"/>
                      <w:highlight w:val="yellow"/>
                    </w:rPr>
                    <w:t xml:space="preserve">.000 UVT) x </w:t>
                  </w:r>
                  <w:r w:rsidRPr="00F05731">
                    <w:rPr>
                      <w:rFonts w:ascii="Cambria" w:hAnsi="Cambria" w:cs="Arial"/>
                      <w:i/>
                      <w:iCs/>
                      <w:sz w:val="18"/>
                      <w:szCs w:val="18"/>
                      <w:highlight w:val="yellow"/>
                    </w:rPr>
                    <w:t>3</w:t>
                  </w:r>
                  <w:r w:rsidRPr="00F05731">
                    <w:rPr>
                      <w:rFonts w:ascii="Cambria" w:hAnsi="Cambria" w:cs="Arial"/>
                      <w:i/>
                      <w:iCs/>
                      <w:sz w:val="18"/>
                      <w:szCs w:val="18"/>
                      <w:highlight w:val="yellow"/>
                    </w:rPr>
                    <w:t xml:space="preserve">,0% + </w:t>
                  </w:r>
                  <w:r w:rsidRPr="00F05731">
                    <w:rPr>
                      <w:rFonts w:ascii="Cambria" w:hAnsi="Cambria" w:cs="Arial"/>
                      <w:i/>
                      <w:iCs/>
                      <w:sz w:val="18"/>
                      <w:szCs w:val="18"/>
                      <w:highlight w:val="yellow"/>
                    </w:rPr>
                    <w:t>3.050</w:t>
                  </w:r>
                  <w:r w:rsidRPr="00F05731">
                    <w:rPr>
                      <w:rFonts w:ascii="Cambria" w:hAnsi="Cambria" w:cs="Arial"/>
                      <w:i/>
                      <w:iCs/>
                      <w:sz w:val="18"/>
                      <w:szCs w:val="18"/>
                      <w:highlight w:val="yellow"/>
                    </w:rPr>
                    <w:t> </w:t>
                  </w:r>
                </w:p>
                <w:p w14:paraId="0D5550B1" w14:textId="0B0130F9"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UVT </w:t>
                  </w:r>
                </w:p>
              </w:tc>
            </w:tr>
            <w:tr w:rsidR="001C00AA" w:rsidRPr="00F05731" w14:paraId="7AE5DAD8" w14:textId="77777777" w:rsidTr="00CB7DAB">
              <w:tc>
                <w:tcPr>
                  <w:tcW w:w="924" w:type="dxa"/>
                </w:tcPr>
                <w:p w14:paraId="67BD492F" w14:textId="670D336D" w:rsidR="001C00AA" w:rsidRPr="001C00AA" w:rsidRDefault="001C00AA" w:rsidP="001C00AA">
                  <w:pPr>
                    <w:jc w:val="both"/>
                    <w:rPr>
                      <w:rFonts w:ascii="Cambria" w:hAnsi="Cambria"/>
                      <w:i/>
                      <w:iCs/>
                      <w:sz w:val="18"/>
                      <w:szCs w:val="18"/>
                    </w:rPr>
                  </w:pPr>
                  <w:r>
                    <w:rPr>
                      <w:rFonts w:ascii="Cambria" w:hAnsi="Cambria"/>
                      <w:i/>
                      <w:iCs/>
                      <w:sz w:val="18"/>
                      <w:szCs w:val="18"/>
                    </w:rPr>
                    <w:t>2.000.000</w:t>
                  </w:r>
                </w:p>
              </w:tc>
              <w:tc>
                <w:tcPr>
                  <w:tcW w:w="949" w:type="dxa"/>
                </w:tcPr>
                <w:p w14:paraId="63AD8C87" w14:textId="1463D003"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En adelante</w:t>
                  </w:r>
                </w:p>
              </w:tc>
              <w:tc>
                <w:tcPr>
                  <w:tcW w:w="992" w:type="dxa"/>
                </w:tcPr>
                <w:p w14:paraId="13F50BEF" w14:textId="4C4D2573" w:rsidR="001C00AA" w:rsidRPr="00F05731" w:rsidRDefault="001C00AA" w:rsidP="001C00AA">
                  <w:pPr>
                    <w:jc w:val="both"/>
                    <w:rPr>
                      <w:rFonts w:ascii="Cambria" w:hAnsi="Cambria"/>
                      <w:i/>
                      <w:iCs/>
                      <w:sz w:val="18"/>
                      <w:szCs w:val="18"/>
                      <w:highlight w:val="yellow"/>
                    </w:rPr>
                  </w:pPr>
                  <w:r w:rsidRPr="00F05731">
                    <w:rPr>
                      <w:rFonts w:ascii="Cambria" w:hAnsi="Cambria"/>
                      <w:i/>
                      <w:iCs/>
                      <w:sz w:val="18"/>
                      <w:szCs w:val="18"/>
                      <w:highlight w:val="yellow"/>
                    </w:rPr>
                    <w:t>5,0%</w:t>
                  </w:r>
                </w:p>
              </w:tc>
              <w:tc>
                <w:tcPr>
                  <w:tcW w:w="1134" w:type="dxa"/>
                </w:tcPr>
                <w:p w14:paraId="2EDAE4C8" w14:textId="274E9EE7"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 xml:space="preserve">(Base Gravable en UVT menos </w:t>
                  </w:r>
                  <w:r w:rsidR="00F05731" w:rsidRPr="00F05731">
                    <w:rPr>
                      <w:rFonts w:ascii="Cambria" w:hAnsi="Cambria" w:cs="Arial"/>
                      <w:i/>
                      <w:iCs/>
                      <w:sz w:val="18"/>
                      <w:szCs w:val="18"/>
                      <w:highlight w:val="yellow"/>
                    </w:rPr>
                    <w:t>2.000.000</w:t>
                  </w:r>
                  <w:r w:rsidRPr="00F05731">
                    <w:rPr>
                      <w:rFonts w:ascii="Cambria" w:hAnsi="Cambria" w:cs="Arial"/>
                      <w:i/>
                      <w:iCs/>
                      <w:sz w:val="18"/>
                      <w:szCs w:val="18"/>
                      <w:highlight w:val="yellow"/>
                    </w:rPr>
                    <w:t xml:space="preserve"> UVT) x </w:t>
                  </w:r>
                  <w:r w:rsidR="00F05731" w:rsidRPr="00F05731">
                    <w:rPr>
                      <w:rFonts w:ascii="Cambria" w:hAnsi="Cambria" w:cs="Arial"/>
                      <w:i/>
                      <w:iCs/>
                      <w:sz w:val="18"/>
                      <w:szCs w:val="18"/>
                      <w:highlight w:val="yellow"/>
                    </w:rPr>
                    <w:t>5</w:t>
                  </w:r>
                  <w:r w:rsidRPr="00F05731">
                    <w:rPr>
                      <w:rFonts w:ascii="Cambria" w:hAnsi="Cambria" w:cs="Arial"/>
                      <w:i/>
                      <w:iCs/>
                      <w:sz w:val="18"/>
                      <w:szCs w:val="18"/>
                      <w:highlight w:val="yellow"/>
                    </w:rPr>
                    <w:t xml:space="preserve">,0% + </w:t>
                  </w:r>
                  <w:r w:rsidR="00F05731" w:rsidRPr="00F05731">
                    <w:rPr>
                      <w:rFonts w:ascii="Cambria" w:hAnsi="Cambria" w:cs="Arial"/>
                      <w:i/>
                      <w:iCs/>
                      <w:sz w:val="18"/>
                      <w:szCs w:val="18"/>
                      <w:highlight w:val="yellow"/>
                    </w:rPr>
                    <w:t>55</w:t>
                  </w:r>
                  <w:r w:rsidRPr="00F05731">
                    <w:rPr>
                      <w:rFonts w:ascii="Cambria" w:hAnsi="Cambria" w:cs="Arial"/>
                      <w:i/>
                      <w:iCs/>
                      <w:sz w:val="18"/>
                      <w:szCs w:val="18"/>
                      <w:highlight w:val="yellow"/>
                    </w:rPr>
                    <w:t>.</w:t>
                  </w:r>
                  <w:r w:rsidR="00F05731" w:rsidRPr="00F05731">
                    <w:rPr>
                      <w:rFonts w:ascii="Cambria" w:hAnsi="Cambria" w:cs="Arial"/>
                      <w:i/>
                      <w:iCs/>
                      <w:sz w:val="18"/>
                      <w:szCs w:val="18"/>
                      <w:highlight w:val="yellow"/>
                    </w:rPr>
                    <w:t>850</w:t>
                  </w:r>
                  <w:r w:rsidRPr="00F05731">
                    <w:rPr>
                      <w:rFonts w:ascii="Cambria" w:hAnsi="Cambria" w:cs="Arial"/>
                      <w:i/>
                      <w:iCs/>
                      <w:sz w:val="18"/>
                      <w:szCs w:val="18"/>
                      <w:highlight w:val="yellow"/>
                    </w:rPr>
                    <w:t> </w:t>
                  </w:r>
                </w:p>
                <w:p w14:paraId="3AD79116" w14:textId="1E87A573" w:rsidR="001C00AA" w:rsidRPr="00F05731" w:rsidRDefault="001C00AA" w:rsidP="001C00AA">
                  <w:pPr>
                    <w:jc w:val="both"/>
                    <w:rPr>
                      <w:rFonts w:ascii="Cambria" w:hAnsi="Cambria" w:cs="Arial"/>
                      <w:i/>
                      <w:iCs/>
                      <w:sz w:val="18"/>
                      <w:szCs w:val="18"/>
                      <w:highlight w:val="yellow"/>
                    </w:rPr>
                  </w:pPr>
                  <w:r w:rsidRPr="00F05731">
                    <w:rPr>
                      <w:rFonts w:ascii="Cambria" w:hAnsi="Cambria" w:cs="Arial"/>
                      <w:i/>
                      <w:iCs/>
                      <w:sz w:val="18"/>
                      <w:szCs w:val="18"/>
                      <w:highlight w:val="yellow"/>
                    </w:rPr>
                    <w:t>UVT </w:t>
                  </w:r>
                </w:p>
              </w:tc>
            </w:tr>
          </w:tbl>
          <w:p w14:paraId="25D0F79F" w14:textId="77777777" w:rsidR="001C00AA" w:rsidRPr="001C00AA" w:rsidRDefault="001C00AA" w:rsidP="001C00AA">
            <w:pPr>
              <w:rPr>
                <w:i/>
                <w:iCs/>
                <w:sz w:val="18"/>
                <w:szCs w:val="18"/>
              </w:rPr>
            </w:pPr>
          </w:p>
          <w:p w14:paraId="2B99564C" w14:textId="77777777" w:rsidR="001C00AA" w:rsidRPr="001C00AA" w:rsidRDefault="001C00AA" w:rsidP="001C00AA">
            <w:pPr>
              <w:rPr>
                <w:i/>
                <w:iCs/>
                <w:sz w:val="18"/>
                <w:szCs w:val="18"/>
              </w:rPr>
            </w:pPr>
          </w:p>
          <w:p w14:paraId="479AA418" w14:textId="77777777" w:rsidR="001C00AA" w:rsidRPr="001C00AA" w:rsidRDefault="001C00AA" w:rsidP="001C00AA">
            <w:pPr>
              <w:rPr>
                <w:i/>
                <w:iCs/>
                <w:color w:val="0070C0"/>
                <w:sz w:val="18"/>
                <w:szCs w:val="18"/>
              </w:rPr>
            </w:pPr>
          </w:p>
        </w:tc>
      </w:tr>
    </w:tbl>
    <w:p w14:paraId="01C5187F" w14:textId="77777777" w:rsidR="00200A21" w:rsidRDefault="00200A21">
      <w:pPr>
        <w:rPr>
          <w:lang w:val="es-ES"/>
        </w:rPr>
      </w:pPr>
    </w:p>
    <w:p w14:paraId="01498274" w14:textId="77777777" w:rsidR="007A0F28" w:rsidRDefault="007A0F28">
      <w:pPr>
        <w:rPr>
          <w:lang w:val="es-ES"/>
        </w:rPr>
      </w:pPr>
    </w:p>
    <w:p w14:paraId="75886455" w14:textId="77777777" w:rsidR="00F05731" w:rsidRDefault="00A559F8">
      <w:pPr>
        <w:rPr>
          <w:lang w:val="es-ES"/>
        </w:rPr>
      </w:pPr>
      <w:r>
        <w:rPr>
          <w:lang w:val="es-ES"/>
        </w:rPr>
        <w:t>Como puede verse, la nueva versión con que quedarían las normas antes destacadas implicarían que a partir de enero 1 de 202</w:t>
      </w:r>
      <w:r w:rsidR="00F05731">
        <w:rPr>
          <w:lang w:val="es-ES"/>
        </w:rPr>
        <w:t xml:space="preserve">6 el monto del patrimonio líquido declarable al gobierno colombiano (el cual depende de si la persona natural o sucesión ilíquida es </w:t>
      </w:r>
      <w:r>
        <w:rPr>
          <w:lang w:val="es-ES"/>
        </w:rPr>
        <w:t xml:space="preserve"> </w:t>
      </w:r>
      <w:r w:rsidR="00F05731">
        <w:rPr>
          <w:lang w:val="es-ES"/>
        </w:rPr>
        <w:t>residente o no residente), y con el cual se originaría la obligación de presentar declaración del impuesto al patrimonio, se disminuiría de 72.000 UVT (actualmente unos $3.585.528.000) a solo 40.000 UVT (actualmente unos 1.991.960.000)</w:t>
      </w:r>
    </w:p>
    <w:p w14:paraId="5BEEFDF6" w14:textId="77777777" w:rsidR="00F05731" w:rsidRDefault="00F05731">
      <w:pPr>
        <w:rPr>
          <w:lang w:val="es-ES"/>
        </w:rPr>
      </w:pPr>
    </w:p>
    <w:p w14:paraId="56D16370" w14:textId="4A91C2AB" w:rsidR="00A559F8" w:rsidRDefault="00F05731" w:rsidP="00F05731">
      <w:pPr>
        <w:rPr>
          <w:lang w:val="es-ES"/>
        </w:rPr>
      </w:pPr>
      <w:r>
        <w:rPr>
          <w:lang w:val="es-ES"/>
        </w:rPr>
        <w:t>Adici</w:t>
      </w:r>
      <w:r w:rsidR="005507C9">
        <w:rPr>
          <w:lang w:val="es-ES"/>
        </w:rPr>
        <w:t>o</w:t>
      </w:r>
      <w:r>
        <w:rPr>
          <w:lang w:val="es-ES"/>
        </w:rPr>
        <w:t xml:space="preserve">nalmente, en lugar de utilizar dos tablas diferentes para liquidar el impuesto (una de ellas vigente hasta el año gravable 2026 y la segunda vigente solo a partir del año gravable 2027), lo que se propone es que a partir del año gravable 2026 se utilizaría una única tabla en la que los rangos de patrimonio </w:t>
      </w:r>
      <w:proofErr w:type="spellStart"/>
      <w:r>
        <w:rPr>
          <w:lang w:val="es-ES"/>
        </w:rPr>
        <w:t>l</w:t>
      </w:r>
      <w:r w:rsidR="005507C9">
        <w:rPr>
          <w:lang w:val="es-ES"/>
        </w:rPr>
        <w:t>í</w:t>
      </w:r>
      <w:r>
        <w:rPr>
          <w:lang w:val="es-ES"/>
        </w:rPr>
        <w:t>qido</w:t>
      </w:r>
      <w:proofErr w:type="spellEnd"/>
      <w:r>
        <w:rPr>
          <w:lang w:val="es-ES"/>
        </w:rPr>
        <w:t xml:space="preserve"> gravable, y las tarifas aplicadas,  son fuertemente modificados para terminar produciendo un mayor impuesto</w:t>
      </w:r>
      <w:r w:rsidR="002F47C6">
        <w:rPr>
          <w:lang w:val="es-ES"/>
        </w:rPr>
        <w:t xml:space="preserve"> (el cual seguiría siendo un impuesto que no es deducible en el impuesto de renta)</w:t>
      </w:r>
      <w:r>
        <w:rPr>
          <w:lang w:val="es-ES"/>
        </w:rPr>
        <w:t>.</w:t>
      </w:r>
    </w:p>
    <w:p w14:paraId="6142B326" w14:textId="77777777" w:rsidR="00F05731" w:rsidRDefault="00F05731" w:rsidP="00F05731">
      <w:pPr>
        <w:rPr>
          <w:lang w:val="es-ES"/>
        </w:rPr>
      </w:pPr>
    </w:p>
    <w:p w14:paraId="332B6CC7" w14:textId="77777777" w:rsidR="00F05731" w:rsidRDefault="00F05731" w:rsidP="00F05731">
      <w:pPr>
        <w:rPr>
          <w:lang w:val="es-ES"/>
        </w:rPr>
      </w:pPr>
      <w:r>
        <w:rPr>
          <w:lang w:val="es-ES"/>
        </w:rPr>
        <w:t xml:space="preserve">Por tanto, si este tipo de propuesta aumentaría la tributación de las personas naturales y sucesiones ilíquidas, lo que va a terminar sucediendo es que muchos de tales contribuyentes tendrán que empezar a buscar estrategias para disminuir legalmente dicho impuesto. </w:t>
      </w:r>
    </w:p>
    <w:p w14:paraId="1E221B35" w14:textId="77777777" w:rsidR="00F05731" w:rsidRDefault="00F05731" w:rsidP="00F05731">
      <w:pPr>
        <w:rPr>
          <w:lang w:val="es-ES"/>
        </w:rPr>
      </w:pPr>
    </w:p>
    <w:p w14:paraId="5B1AA953" w14:textId="2B44D4BA" w:rsidR="00F05731" w:rsidRDefault="00F05731" w:rsidP="00F05731">
      <w:pPr>
        <w:rPr>
          <w:lang w:val="es-ES"/>
        </w:rPr>
      </w:pPr>
      <w:r>
        <w:rPr>
          <w:lang w:val="es-ES"/>
        </w:rPr>
        <w:t>Una de ellas sería la de liquidar rápido las sucesiones ilíquidas para que el elevado patrimonio que aun figure en cabeza de la persona fallecida quede dispersado entre los diferentes herederos los cuales posiblemente no alcanzarían el tope para responder por el impuesto</w:t>
      </w:r>
    </w:p>
    <w:p w14:paraId="634459C5" w14:textId="5034C1D1" w:rsidR="00F05731" w:rsidRDefault="00F05731" w:rsidP="00F05731">
      <w:pPr>
        <w:rPr>
          <w:lang w:val="es-ES"/>
        </w:rPr>
      </w:pPr>
      <w:r>
        <w:rPr>
          <w:lang w:val="es-ES"/>
        </w:rPr>
        <w:t xml:space="preserve"> </w:t>
      </w:r>
    </w:p>
    <w:p w14:paraId="736806BA" w14:textId="39589D3A" w:rsidR="00F05731" w:rsidRDefault="00F05731" w:rsidP="00F05731">
      <w:pPr>
        <w:rPr>
          <w:lang w:val="es-ES"/>
        </w:rPr>
      </w:pPr>
      <w:r>
        <w:rPr>
          <w:lang w:val="es-ES"/>
        </w:rPr>
        <w:t xml:space="preserve">Otra estrategia podría consistir en evaluar la posibilidad de pasar de ser una “persona natural residente” (las cuales deben informar tanto el patrimonio </w:t>
      </w:r>
      <w:proofErr w:type="spellStart"/>
      <w:r>
        <w:rPr>
          <w:lang w:val="es-ES"/>
        </w:rPr>
        <w:t>poseido</w:t>
      </w:r>
      <w:proofErr w:type="spellEnd"/>
      <w:r>
        <w:rPr>
          <w:lang w:val="es-ES"/>
        </w:rPr>
        <w:t xml:space="preserve"> en Colombia más el pose</w:t>
      </w:r>
      <w:r w:rsidR="002F47C6">
        <w:rPr>
          <w:lang w:val="es-ES"/>
        </w:rPr>
        <w:t>í</w:t>
      </w:r>
      <w:r>
        <w:rPr>
          <w:lang w:val="es-ES"/>
        </w:rPr>
        <w:t>do en el exterior)</w:t>
      </w:r>
      <w:r w:rsidR="002F47C6">
        <w:rPr>
          <w:lang w:val="es-ES"/>
        </w:rPr>
        <w:t xml:space="preserve"> y convertirse en una “persona natural no residente (las cuales solo deben informar el patrimonio que se entienda </w:t>
      </w:r>
      <w:proofErr w:type="spellStart"/>
      <w:r w:rsidR="002F47C6">
        <w:rPr>
          <w:lang w:val="es-ES"/>
        </w:rPr>
        <w:t>poseido</w:t>
      </w:r>
      <w:proofErr w:type="spellEnd"/>
      <w:r w:rsidR="002F47C6">
        <w:rPr>
          <w:lang w:val="es-ES"/>
        </w:rPr>
        <w:t xml:space="preserve"> en Colombia; ver artículos 9 y 10 del ET).</w:t>
      </w:r>
    </w:p>
    <w:p w14:paraId="372C83A6" w14:textId="77777777" w:rsidR="002F47C6" w:rsidRDefault="002F47C6" w:rsidP="00F05731">
      <w:pPr>
        <w:rPr>
          <w:lang w:val="es-ES"/>
        </w:rPr>
      </w:pPr>
    </w:p>
    <w:p w14:paraId="585983AA" w14:textId="273A42AA" w:rsidR="00F97EB4" w:rsidRDefault="002F47C6">
      <w:pPr>
        <w:pBdr>
          <w:bottom w:val="single" w:sz="12" w:space="1" w:color="auto"/>
        </w:pBdr>
        <w:rPr>
          <w:lang w:val="es-ES"/>
        </w:rPr>
      </w:pPr>
      <w:r>
        <w:rPr>
          <w:lang w:val="es-ES"/>
        </w:rPr>
        <w:t xml:space="preserve">Y una </w:t>
      </w:r>
      <w:proofErr w:type="spellStart"/>
      <w:r>
        <w:rPr>
          <w:lang w:val="es-ES"/>
        </w:rPr>
        <w:t>ultima</w:t>
      </w:r>
      <w:proofErr w:type="spellEnd"/>
      <w:r>
        <w:rPr>
          <w:lang w:val="es-ES"/>
        </w:rPr>
        <w:t xml:space="preserve"> sería la de aportar parte de sus activos a sociedades comerciales de familia que no coticen en bolsa, que estén inactivas y que incluso tengan pérdidas fiscales acumuladas. En ese caso, el patrimonio que aporten a dichas sociedades se empezaría a declarar como “acciones en sociedades” pero las mimas  se tendrían que declarar, para efectos del impuesto al patrimonio, por el menor valor entre el “costo fiscal” y el “valor intrínseco” (ver parágrafo 3 del artículo 295-3 del ET). Y en este tipo de casos es claro que el “valor intrínseco” sí puede llegar a ser menor al costo fiscal.</w:t>
      </w:r>
    </w:p>
    <w:p w14:paraId="4C08A92D" w14:textId="77777777" w:rsidR="002F47C6" w:rsidRDefault="002F47C6">
      <w:pPr>
        <w:pBdr>
          <w:bottom w:val="single" w:sz="12" w:space="1" w:color="auto"/>
        </w:pBdr>
        <w:rPr>
          <w:lang w:val="es-ES"/>
        </w:rPr>
      </w:pPr>
    </w:p>
    <w:p w14:paraId="7D1CE9D8" w14:textId="77777777" w:rsidR="00F97EB4" w:rsidRDefault="00F97EB4">
      <w:pPr>
        <w:rPr>
          <w:lang w:val="es-ES"/>
        </w:rPr>
      </w:pPr>
    </w:p>
    <w:p w14:paraId="1A7B293F" w14:textId="77777777" w:rsidR="002F47C6" w:rsidRPr="00795625" w:rsidRDefault="002F47C6" w:rsidP="002F47C6">
      <w:hyperlink r:id="rId8" w:history="1">
        <w:r w:rsidRPr="00795625">
          <w:rPr>
            <w:rStyle w:val="Hipervnculo"/>
          </w:rPr>
          <w:t>Cuadro temático con las normas afectadas por el proyecto de ley de reforma tributaria (radicado en septiembre 2025)</w:t>
        </w:r>
      </w:hyperlink>
    </w:p>
    <w:p w14:paraId="5944028C" w14:textId="77777777" w:rsidR="00F97EB4" w:rsidRPr="002F47C6" w:rsidRDefault="00F97EB4"/>
    <w:p w14:paraId="46253690" w14:textId="77777777" w:rsidR="00F97EB4" w:rsidRDefault="00F97EB4"/>
    <w:p w14:paraId="6668E395" w14:textId="77777777" w:rsidR="00381091" w:rsidRPr="00381091" w:rsidRDefault="00381091" w:rsidP="00381091">
      <w:pPr>
        <w:rPr>
          <w:lang w:val="es-ES"/>
        </w:rPr>
      </w:pPr>
    </w:p>
    <w:sectPr w:rsidR="00381091" w:rsidRPr="003810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918"/>
    <w:rsid w:val="001C00AA"/>
    <w:rsid w:val="001F5918"/>
    <w:rsid w:val="00200A21"/>
    <w:rsid w:val="002F47C6"/>
    <w:rsid w:val="00381091"/>
    <w:rsid w:val="005507C9"/>
    <w:rsid w:val="007A0F28"/>
    <w:rsid w:val="00822B15"/>
    <w:rsid w:val="009D1136"/>
    <w:rsid w:val="00A559F8"/>
    <w:rsid w:val="00AD4527"/>
    <w:rsid w:val="00AE6262"/>
    <w:rsid w:val="00BF4CCD"/>
    <w:rsid w:val="00EA73C3"/>
    <w:rsid w:val="00F05731"/>
    <w:rsid w:val="00F97E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4605C"/>
  <w15:chartTrackingRefBased/>
  <w15:docId w15:val="{CB5019DC-1E51-F14D-86BB-2DF21E30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22B15"/>
    <w:pPr>
      <w:spacing w:before="100" w:beforeAutospacing="1" w:after="100" w:afterAutospacing="1"/>
      <w:outlineLvl w:val="0"/>
    </w:pPr>
    <w:rPr>
      <w:rFonts w:ascii="Times New Roman" w:eastAsia="Times New Roman" w:hAnsi="Times New Roman" w:cs="Times New Roman"/>
      <w:b/>
      <w:bCs/>
      <w:kern w:val="36"/>
      <w:sz w:val="48"/>
      <w:szCs w:val="48"/>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F5918"/>
    <w:rPr>
      <w:color w:val="0563C1" w:themeColor="hyperlink"/>
      <w:u w:val="single"/>
    </w:rPr>
  </w:style>
  <w:style w:type="character" w:styleId="Mencinsinresolver">
    <w:name w:val="Unresolved Mention"/>
    <w:basedOn w:val="Fuentedeprrafopredeter"/>
    <w:uiPriority w:val="99"/>
    <w:semiHidden/>
    <w:unhideWhenUsed/>
    <w:rsid w:val="001F5918"/>
    <w:rPr>
      <w:color w:val="605E5C"/>
      <w:shd w:val="clear" w:color="auto" w:fill="E1DFDD"/>
    </w:rPr>
  </w:style>
  <w:style w:type="table" w:styleId="Tablaconcuadrcula">
    <w:name w:val="Table Grid"/>
    <w:basedOn w:val="Tablanormal"/>
    <w:uiPriority w:val="59"/>
    <w:rsid w:val="00200A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136"/>
    <w:pPr>
      <w:autoSpaceDE w:val="0"/>
      <w:autoSpaceDN w:val="0"/>
      <w:adjustRightInd w:val="0"/>
    </w:pPr>
    <w:rPr>
      <w:rFonts w:ascii="Verdana" w:hAnsi="Verdana" w:cs="Verdana"/>
      <w:color w:val="000000"/>
      <w:kern w:val="0"/>
      <w:lang w:val="es-MX"/>
    </w:rPr>
  </w:style>
  <w:style w:type="character" w:customStyle="1" w:styleId="Ttulo1Car">
    <w:name w:val="Título 1 Car"/>
    <w:basedOn w:val="Fuentedeprrafopredeter"/>
    <w:link w:val="Ttulo1"/>
    <w:uiPriority w:val="9"/>
    <w:rsid w:val="00822B15"/>
    <w:rPr>
      <w:rFonts w:ascii="Times New Roman" w:eastAsia="Times New Roman" w:hAnsi="Times New Roman" w:cs="Times New Roman"/>
      <w:b/>
      <w:bCs/>
      <w:kern w:val="36"/>
      <w:sz w:val="48"/>
      <w:szCs w:val="48"/>
      <w:lang w:eastAsia="es-MX"/>
      <w14:ligatures w14:val="none"/>
    </w:rPr>
  </w:style>
  <w:style w:type="character" w:styleId="Refdecomentario">
    <w:name w:val="annotation reference"/>
    <w:basedOn w:val="Fuentedeprrafopredeter"/>
    <w:uiPriority w:val="99"/>
    <w:semiHidden/>
    <w:unhideWhenUsed/>
    <w:rsid w:val="00381091"/>
    <w:rPr>
      <w:sz w:val="16"/>
      <w:szCs w:val="16"/>
    </w:rPr>
  </w:style>
  <w:style w:type="paragraph" w:styleId="Textocomentario">
    <w:name w:val="annotation text"/>
    <w:basedOn w:val="Normal"/>
    <w:link w:val="TextocomentarioCar"/>
    <w:uiPriority w:val="99"/>
    <w:semiHidden/>
    <w:unhideWhenUsed/>
    <w:rsid w:val="00381091"/>
    <w:rPr>
      <w:sz w:val="20"/>
      <w:szCs w:val="20"/>
    </w:rPr>
  </w:style>
  <w:style w:type="character" w:customStyle="1" w:styleId="TextocomentarioCar">
    <w:name w:val="Texto comentario Car"/>
    <w:basedOn w:val="Fuentedeprrafopredeter"/>
    <w:link w:val="Textocomentario"/>
    <w:uiPriority w:val="99"/>
    <w:semiHidden/>
    <w:rsid w:val="00381091"/>
    <w:rPr>
      <w:sz w:val="20"/>
      <w:szCs w:val="20"/>
    </w:rPr>
  </w:style>
  <w:style w:type="paragraph" w:styleId="Asuntodelcomentario">
    <w:name w:val="annotation subject"/>
    <w:basedOn w:val="Textocomentario"/>
    <w:next w:val="Textocomentario"/>
    <w:link w:val="AsuntodelcomentarioCar"/>
    <w:uiPriority w:val="99"/>
    <w:semiHidden/>
    <w:unhideWhenUsed/>
    <w:rsid w:val="00381091"/>
    <w:rPr>
      <w:b/>
      <w:bCs/>
    </w:rPr>
  </w:style>
  <w:style w:type="character" w:customStyle="1" w:styleId="AsuntodelcomentarioCar">
    <w:name w:val="Asunto del comentario Car"/>
    <w:basedOn w:val="TextocomentarioCar"/>
    <w:link w:val="Asuntodelcomentario"/>
    <w:uiPriority w:val="99"/>
    <w:semiHidden/>
    <w:rsid w:val="003810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83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ualicese.com/cuadro-tematico-con-las-normas-afectadas-por-el-proyecto-de-ley-de-reforma-tributaria-radicado-en-septiembre-2025/" TargetMode="External"/><Relationship Id="rId3" Type="http://schemas.openxmlformats.org/officeDocument/2006/relationships/webSettings" Target="webSettings.xml"/><Relationship Id="rId7" Type="http://schemas.openxmlformats.org/officeDocument/2006/relationships/hyperlink" Target="https://normograma.dian.gov.co/dian/compilacion/docs/estatuto_tributario.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enado.gov.co/index.php/el-senado/noticias/6706-congreso-inicia-tramite-del-proyecto-para-el-presupuesto-general-de-la-nacion-vigencia-2026" TargetMode="External"/><Relationship Id="rId5" Type="http://schemas.openxmlformats.org/officeDocument/2006/relationships/hyperlink" Target="https://www.minhacienda.gov.co/w/ministro-de-hacienda-presenta-la-ley-de-financiamiento-y-aclara-que-no-afecta-la-canasta-familiar" TargetMode="External"/><Relationship Id="rId10" Type="http://schemas.openxmlformats.org/officeDocument/2006/relationships/theme" Target="theme/theme1.xml"/><Relationship Id="rId4" Type="http://schemas.openxmlformats.org/officeDocument/2006/relationships/hyperlink" Target="https://actualicese.com/cuadro-tematico-con-las-normas-afectadas-por-el-proyecto-de-ley-de-reforma-tributaria-radicado-en-septiembre-2025/"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1131</Words>
  <Characters>6224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6</cp:revision>
  <dcterms:created xsi:type="dcterms:W3CDTF">2024-09-12T01:52:00Z</dcterms:created>
  <dcterms:modified xsi:type="dcterms:W3CDTF">2025-09-04T23:58:00Z</dcterms:modified>
</cp:coreProperties>
</file>